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35DC6" w14:textId="725CCE30" w:rsidR="0076786A" w:rsidRPr="005A6C71" w:rsidRDefault="0076786A" w:rsidP="00BD3A13">
      <w:pPr>
        <w:spacing w:line="240" w:lineRule="auto"/>
        <w:ind w:leftChars="0" w:left="0" w:firstLineChars="0" w:firstLine="0"/>
        <w:jc w:val="center"/>
        <w:rPr>
          <w:b/>
          <w:color w:val="000000" w:themeColor="text1"/>
          <w:sz w:val="28"/>
          <w:szCs w:val="28"/>
        </w:rPr>
      </w:pPr>
      <w:r w:rsidRPr="005A6C71">
        <w:rPr>
          <w:b/>
          <w:color w:val="000000" w:themeColor="text1"/>
          <w:sz w:val="28"/>
          <w:szCs w:val="28"/>
        </w:rPr>
        <w:t>A</w:t>
      </w:r>
      <w:r w:rsidR="00225BCD">
        <w:rPr>
          <w:b/>
          <w:color w:val="000000" w:themeColor="text1"/>
          <w:sz w:val="28"/>
          <w:szCs w:val="28"/>
        </w:rPr>
        <w:t xml:space="preserve">nálise Hierárquica com suporte do </w:t>
      </w:r>
      <w:r w:rsidR="00225BCD" w:rsidRPr="00AD533E">
        <w:rPr>
          <w:b/>
          <w:i/>
          <w:iCs/>
          <w:color w:val="000000" w:themeColor="text1"/>
          <w:sz w:val="28"/>
          <w:szCs w:val="28"/>
        </w:rPr>
        <w:t>Superdecisions</w:t>
      </w:r>
      <w:r w:rsidR="00225BCD">
        <w:rPr>
          <w:b/>
          <w:color w:val="000000" w:themeColor="text1"/>
          <w:sz w:val="28"/>
          <w:szCs w:val="28"/>
        </w:rPr>
        <w:t xml:space="preserve"> </w:t>
      </w:r>
      <w:r w:rsidRPr="005A6C71">
        <w:rPr>
          <w:b/>
          <w:color w:val="000000" w:themeColor="text1"/>
          <w:sz w:val="28"/>
          <w:szCs w:val="28"/>
        </w:rPr>
        <w:t xml:space="preserve">dos </w:t>
      </w:r>
      <w:r w:rsidR="00225BCD">
        <w:rPr>
          <w:b/>
          <w:color w:val="000000" w:themeColor="text1"/>
          <w:sz w:val="28"/>
          <w:szCs w:val="28"/>
        </w:rPr>
        <w:t>aspectos</w:t>
      </w:r>
      <w:r w:rsidR="00225BCD" w:rsidRPr="005A6C71">
        <w:rPr>
          <w:b/>
          <w:color w:val="000000" w:themeColor="text1"/>
          <w:sz w:val="28"/>
          <w:szCs w:val="28"/>
        </w:rPr>
        <w:t xml:space="preserve"> </w:t>
      </w:r>
      <w:r w:rsidRPr="005A6C71">
        <w:rPr>
          <w:b/>
          <w:color w:val="000000" w:themeColor="text1"/>
          <w:sz w:val="28"/>
          <w:szCs w:val="28"/>
        </w:rPr>
        <w:t>críticos para integração do porto de Santana</w:t>
      </w:r>
      <w:r w:rsidR="00C36921">
        <w:rPr>
          <w:b/>
          <w:color w:val="000000" w:themeColor="text1"/>
          <w:sz w:val="28"/>
          <w:szCs w:val="28"/>
        </w:rPr>
        <w:t xml:space="preserve"> no</w:t>
      </w:r>
      <w:r w:rsidRPr="005A6C71">
        <w:rPr>
          <w:b/>
          <w:color w:val="000000" w:themeColor="text1"/>
          <w:sz w:val="28"/>
          <w:szCs w:val="28"/>
        </w:rPr>
        <w:t xml:space="preserve"> Amapá-Brasil </w:t>
      </w:r>
      <w:r w:rsidR="00225BCD" w:rsidRPr="00AD533E">
        <w:rPr>
          <w:b/>
          <w:sz w:val="28"/>
          <w:szCs w:val="28"/>
        </w:rPr>
        <w:t>ao</w:t>
      </w:r>
      <w:r w:rsidR="00225BCD" w:rsidRPr="005A6C71">
        <w:rPr>
          <w:b/>
          <w:color w:val="000000" w:themeColor="text1"/>
          <w:sz w:val="28"/>
          <w:szCs w:val="28"/>
        </w:rPr>
        <w:t xml:space="preserve"> </w:t>
      </w:r>
      <w:r w:rsidRPr="005A6C71">
        <w:rPr>
          <w:b/>
          <w:color w:val="000000" w:themeColor="text1"/>
          <w:sz w:val="28"/>
          <w:szCs w:val="28"/>
        </w:rPr>
        <w:t>projeto Arco Norte</w:t>
      </w:r>
      <w:r w:rsidRPr="005A6C71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314BEB" wp14:editId="0C3A7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tângulo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A87D98" id="Retângulo 3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Cv7c2VXgIAAK0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14:paraId="0E652393" w14:textId="77777777" w:rsidR="00B572AD" w:rsidRPr="00A243B9" w:rsidRDefault="00B572AD" w:rsidP="00BD3A13">
      <w:pPr>
        <w:ind w:leftChars="0" w:left="0" w:firstLineChars="0" w:firstLine="0"/>
        <w:jc w:val="center"/>
      </w:pPr>
    </w:p>
    <w:p w14:paraId="0742452E" w14:textId="77777777" w:rsidR="00402671" w:rsidRPr="00A243B9" w:rsidRDefault="00402671" w:rsidP="00BD3A13">
      <w:pPr>
        <w:ind w:leftChars="0" w:left="0" w:firstLineChars="0" w:firstLine="0"/>
        <w:jc w:val="center"/>
      </w:pPr>
    </w:p>
    <w:p w14:paraId="07424530" w14:textId="77777777" w:rsidR="00402671" w:rsidRDefault="00402671" w:rsidP="00BD3A13">
      <w:pPr>
        <w:ind w:leftChars="0" w:left="0" w:firstLineChars="0" w:firstLine="0"/>
        <w:jc w:val="center"/>
      </w:pPr>
    </w:p>
    <w:p w14:paraId="07424534" w14:textId="1868E8E0" w:rsidR="00402671" w:rsidRPr="00A243B9" w:rsidRDefault="00BE5716" w:rsidP="00BD3A13">
      <w:pPr>
        <w:keepNext/>
        <w:keepLines/>
        <w:spacing w:line="240" w:lineRule="auto"/>
        <w:ind w:leftChars="0" w:left="0" w:firstLineChars="0" w:firstLine="0"/>
        <w:jc w:val="both"/>
      </w:pPr>
      <w:r w:rsidRPr="003737F7">
        <w:rPr>
          <w:b/>
        </w:rPr>
        <w:t>RESUMO</w:t>
      </w:r>
    </w:p>
    <w:p w14:paraId="07424535" w14:textId="77777777" w:rsidR="00402671" w:rsidRPr="00A243B9" w:rsidRDefault="00402671" w:rsidP="00BD3A13">
      <w:pPr>
        <w:spacing w:line="240" w:lineRule="auto"/>
        <w:ind w:leftChars="0" w:left="0" w:firstLineChars="0" w:firstLine="0"/>
        <w:jc w:val="both"/>
      </w:pPr>
    </w:p>
    <w:p w14:paraId="07424537" w14:textId="2E950D49" w:rsidR="00402671" w:rsidRPr="00AF70DF" w:rsidRDefault="00B83816" w:rsidP="00BD3A13">
      <w:pPr>
        <w:spacing w:line="240" w:lineRule="auto"/>
        <w:ind w:leftChars="0" w:left="0" w:firstLineChars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r w:rsidR="00AF70DF">
        <w:rPr>
          <w:shd w:val="clear" w:color="auto" w:fill="FFFFFF"/>
        </w:rPr>
        <w:t xml:space="preserve">avaliação </w:t>
      </w:r>
      <w:r>
        <w:rPr>
          <w:shd w:val="clear" w:color="auto" w:fill="FFFFFF"/>
        </w:rPr>
        <w:t xml:space="preserve">portuária </w:t>
      </w:r>
      <w:r w:rsidR="002551A2">
        <w:rPr>
          <w:shd w:val="clear" w:color="auto" w:fill="FFFFFF"/>
        </w:rPr>
        <w:t xml:space="preserve">constitui uma etapa essencial para </w:t>
      </w:r>
      <w:r w:rsidR="000A1489">
        <w:rPr>
          <w:shd w:val="clear" w:color="auto" w:fill="FFFFFF"/>
        </w:rPr>
        <w:t>a solução dos múltiplos desafios logísticos no escoamento da produção agrícola</w:t>
      </w:r>
      <w:r w:rsidR="00923C7B">
        <w:rPr>
          <w:shd w:val="clear" w:color="auto" w:fill="FFFFFF"/>
        </w:rPr>
        <w:t xml:space="preserve"> do Brasil, em especial</w:t>
      </w:r>
      <w:r w:rsidR="0000651C">
        <w:rPr>
          <w:shd w:val="clear" w:color="auto" w:fill="FFFFFF"/>
        </w:rPr>
        <w:t>,</w:t>
      </w:r>
      <w:r w:rsidR="00923C7B">
        <w:rPr>
          <w:shd w:val="clear" w:color="auto" w:fill="FFFFFF"/>
        </w:rPr>
        <w:t xml:space="preserve"> da soja do Centro-Oeste</w:t>
      </w:r>
      <w:r w:rsidR="00AF70DF">
        <w:rPr>
          <w:shd w:val="clear" w:color="auto" w:fill="FFFFFF"/>
        </w:rPr>
        <w:t>.</w:t>
      </w:r>
      <w:r w:rsidR="00BA4BEB">
        <w:rPr>
          <w:shd w:val="clear" w:color="auto" w:fill="FFFFFF"/>
        </w:rPr>
        <w:t xml:space="preserve"> </w:t>
      </w:r>
      <w:r w:rsidR="002468FF">
        <w:rPr>
          <w:shd w:val="clear" w:color="auto" w:fill="FFFFFF"/>
        </w:rPr>
        <w:t>Este estudo</w:t>
      </w:r>
      <w:r w:rsidR="007A2D8A">
        <w:rPr>
          <w:shd w:val="clear" w:color="auto" w:fill="FFFFFF"/>
        </w:rPr>
        <w:t xml:space="preserve"> </w:t>
      </w:r>
      <w:r w:rsidR="00225BCD">
        <w:rPr>
          <w:shd w:val="clear" w:color="auto" w:fill="FFFFFF"/>
        </w:rPr>
        <w:t xml:space="preserve">analisou </w:t>
      </w:r>
      <w:r w:rsidR="007A2D8A" w:rsidRPr="007A2D8A">
        <w:rPr>
          <w:shd w:val="clear" w:color="auto" w:fill="FFFFFF"/>
        </w:rPr>
        <w:t xml:space="preserve">os aspectos críticos para integração do </w:t>
      </w:r>
      <w:r w:rsidR="007A2D8A">
        <w:t>Porto de Santana, Amapá</w:t>
      </w:r>
      <w:r w:rsidR="0000651C">
        <w:t xml:space="preserve"> -</w:t>
      </w:r>
      <w:r w:rsidR="007A2D8A">
        <w:t xml:space="preserve"> Brasil,</w:t>
      </w:r>
      <w:r w:rsidR="007A2D8A">
        <w:rPr>
          <w:shd w:val="clear" w:color="auto" w:fill="FFFFFF"/>
        </w:rPr>
        <w:t xml:space="preserve"> </w:t>
      </w:r>
      <w:r w:rsidR="001E4683">
        <w:t>e</w:t>
      </w:r>
      <w:r w:rsidR="001E4683" w:rsidRPr="001E4683">
        <w:rPr>
          <w:b/>
          <w:sz w:val="28"/>
          <w:szCs w:val="28"/>
        </w:rPr>
        <w:t xml:space="preserve"> </w:t>
      </w:r>
      <w:r w:rsidR="00BA4BEB">
        <w:t>identific</w:t>
      </w:r>
      <w:r w:rsidR="00225BCD">
        <w:t>ou</w:t>
      </w:r>
      <w:r w:rsidR="0066098C">
        <w:t xml:space="preserve"> os</w:t>
      </w:r>
      <w:r w:rsidR="00BA4BEB">
        <w:t xml:space="preserve"> </w:t>
      </w:r>
      <w:r w:rsidR="0000651C">
        <w:t xml:space="preserve">critérios </w:t>
      </w:r>
      <w:r w:rsidR="00BA4BEB">
        <w:t xml:space="preserve">que podem influenciar na </w:t>
      </w:r>
      <w:r w:rsidR="00D205BE">
        <w:t xml:space="preserve">sua </w:t>
      </w:r>
      <w:r w:rsidR="001E4683">
        <w:t>elegibilidade</w:t>
      </w:r>
      <w:r w:rsidR="00D205BE">
        <w:t xml:space="preserve"> no contexto do Projeto Arco Norte</w:t>
      </w:r>
      <w:r w:rsidR="00622DD4">
        <w:t>, utilizando uma abordagem multicritério</w:t>
      </w:r>
      <w:r w:rsidR="00BA4BEB">
        <w:t xml:space="preserve">. </w:t>
      </w:r>
      <w:r w:rsidR="007B48B5">
        <w:t xml:space="preserve">A investigação </w:t>
      </w:r>
      <w:r w:rsidR="00E27D28">
        <w:t xml:space="preserve">foi realizada em quatro etapas: </w:t>
      </w:r>
      <w:r w:rsidR="007B48B5">
        <w:t xml:space="preserve">a identificação dos critérios de desempenho do porto na percepção dos </w:t>
      </w:r>
      <w:r w:rsidR="007B48B5" w:rsidRPr="005A6C71">
        <w:rPr>
          <w:i/>
        </w:rPr>
        <w:t>stakeholders</w:t>
      </w:r>
      <w:r w:rsidR="007B48B5">
        <w:t xml:space="preserve"> internos</w:t>
      </w:r>
      <w:r w:rsidR="00225BCD">
        <w:t xml:space="preserve"> ao porto</w:t>
      </w:r>
      <w:r w:rsidR="007B48B5">
        <w:t>, a elaboração de instrumento de coleta</w:t>
      </w:r>
      <w:r w:rsidR="0000651C">
        <w:t xml:space="preserve"> de dados</w:t>
      </w:r>
      <w:r w:rsidR="007B48B5">
        <w:t>,</w:t>
      </w:r>
      <w:r w:rsidR="00E27D28">
        <w:t xml:space="preserve"> </w:t>
      </w:r>
      <w:r w:rsidR="007B48B5">
        <w:t xml:space="preserve">o levantamento das percepções de prioridades dos critérios e </w:t>
      </w:r>
      <w:r w:rsidR="0000651C">
        <w:t>as respectivas ponderações</w:t>
      </w:r>
      <w:r w:rsidR="007B48B5">
        <w:t>.</w:t>
      </w:r>
      <w:r w:rsidR="001E4683">
        <w:t xml:space="preserve"> </w:t>
      </w:r>
      <w:r w:rsidR="00820850">
        <w:t>Para</w:t>
      </w:r>
      <w:r w:rsidR="00BA4BEB">
        <w:t xml:space="preserve"> </w:t>
      </w:r>
      <w:r w:rsidR="0000651C">
        <w:t xml:space="preserve">a </w:t>
      </w:r>
      <w:r w:rsidR="00BA4BEB">
        <w:t>análise d</w:t>
      </w:r>
      <w:r w:rsidR="001E4683">
        <w:t>e</w:t>
      </w:r>
      <w:r w:rsidR="00BA4BEB">
        <w:t xml:space="preserve"> dados</w:t>
      </w:r>
      <w:r w:rsidR="00820850">
        <w:t>,</w:t>
      </w:r>
      <w:r w:rsidR="00BA4BEB">
        <w:t xml:space="preserve"> utilizou-se o </w:t>
      </w:r>
      <w:r w:rsidR="001E4683">
        <w:t>método de Análise Hierárquica</w:t>
      </w:r>
      <w:r w:rsidR="00BA4BEB">
        <w:t xml:space="preserve">, com o auxílio do </w:t>
      </w:r>
      <w:r w:rsidR="00C44322">
        <w:rPr>
          <w:i/>
        </w:rPr>
        <w:t>software Superd</w:t>
      </w:r>
      <w:r w:rsidR="00BA4BEB">
        <w:rPr>
          <w:i/>
        </w:rPr>
        <w:t>ecisions</w:t>
      </w:r>
      <w:r w:rsidR="00BA4BEB">
        <w:t xml:space="preserve">, através do qual chegou-se a um </w:t>
      </w:r>
      <w:r w:rsidR="00BA4BEB" w:rsidRPr="00CE0BEE">
        <w:rPr>
          <w:i/>
        </w:rPr>
        <w:t>ranking</w:t>
      </w:r>
      <w:r w:rsidR="00BA4BEB">
        <w:t xml:space="preserve"> d</w:t>
      </w:r>
      <w:r w:rsidR="001E4683">
        <w:t>e critérios a serem ponderados na tomada de de</w:t>
      </w:r>
      <w:r w:rsidR="003737F7">
        <w:t xml:space="preserve">cisão em investimentos no porto. Os resultados apresentaram índices de consistência dos julgamentos dentro do limite aceitável.  Em termos práticos, </w:t>
      </w:r>
      <w:r w:rsidR="00BA4BEB">
        <w:t>a p</w:t>
      </w:r>
      <w:r w:rsidR="00CE0BEE">
        <w:t>rioridade dos critérios</w:t>
      </w:r>
      <w:r w:rsidR="0000651C">
        <w:t xml:space="preserve"> </w:t>
      </w:r>
      <w:r w:rsidR="00CE0BEE">
        <w:t>salientou</w:t>
      </w:r>
      <w:r w:rsidR="00BA4BEB">
        <w:t xml:space="preserve"> a necessidade de ampliação do cais do porto, a melhoria nos acessos atuais por terra e a abertura de acessos às novas áreas de expansão e, ainda, a integração administrativa das instituições atinentes às operações do porto e </w:t>
      </w:r>
      <w:r w:rsidR="00CE0BEE">
        <w:t>a</w:t>
      </w:r>
      <w:r w:rsidR="00BA4BEB">
        <w:t>os investimentos relacionados.</w:t>
      </w:r>
    </w:p>
    <w:p w14:paraId="1270E156" w14:textId="0F814A6E" w:rsidR="00BA4BEB" w:rsidRDefault="00BA4BEB" w:rsidP="00BD3A13">
      <w:pPr>
        <w:spacing w:line="240" w:lineRule="auto"/>
        <w:ind w:leftChars="0" w:left="0" w:firstLineChars="0" w:firstLine="0"/>
        <w:jc w:val="both"/>
      </w:pPr>
    </w:p>
    <w:p w14:paraId="1816B1E7" w14:textId="705C3FE1" w:rsidR="00BA4BEB" w:rsidRDefault="00BA4BEB" w:rsidP="00BD3A13">
      <w:pPr>
        <w:spacing w:line="240" w:lineRule="auto"/>
        <w:ind w:leftChars="0" w:left="0" w:firstLineChars="0" w:firstLine="0"/>
        <w:jc w:val="both"/>
      </w:pPr>
      <w:r w:rsidRPr="00BA4BEB">
        <w:rPr>
          <w:b/>
        </w:rPr>
        <w:t>Palavras-chave:</w:t>
      </w:r>
      <w:r>
        <w:t xml:space="preserve"> </w:t>
      </w:r>
      <w:r w:rsidR="003737F7">
        <w:t>Desempenho</w:t>
      </w:r>
      <w:r>
        <w:t xml:space="preserve">; </w:t>
      </w:r>
      <w:r w:rsidR="003737F7">
        <w:t>Porto</w:t>
      </w:r>
      <w:r w:rsidR="00D50D7D">
        <w:t>; Multicritério</w:t>
      </w:r>
      <w:r w:rsidR="00C44322">
        <w:t xml:space="preserve">; </w:t>
      </w:r>
      <w:r w:rsidR="00C44322" w:rsidRPr="00C44322">
        <w:rPr>
          <w:i/>
        </w:rPr>
        <w:t>Superd</w:t>
      </w:r>
      <w:r w:rsidRPr="00C44322">
        <w:rPr>
          <w:i/>
        </w:rPr>
        <w:t>ecisions</w:t>
      </w:r>
      <w:r>
        <w:t>.</w:t>
      </w:r>
    </w:p>
    <w:p w14:paraId="1E0B866A" w14:textId="77777777" w:rsidR="005A6C71" w:rsidRDefault="005A6C71" w:rsidP="00BD3A13">
      <w:pPr>
        <w:spacing w:line="240" w:lineRule="auto"/>
        <w:ind w:leftChars="0" w:left="0" w:firstLineChars="0" w:firstLine="0"/>
        <w:jc w:val="both"/>
      </w:pPr>
    </w:p>
    <w:p w14:paraId="4BBE8F05" w14:textId="77777777" w:rsidR="00BA4BEB" w:rsidRPr="00A243B9" w:rsidRDefault="00BA4BEB" w:rsidP="00BD3A13">
      <w:pPr>
        <w:spacing w:line="240" w:lineRule="auto"/>
        <w:ind w:leftChars="0" w:left="0" w:firstLineChars="0" w:firstLine="0"/>
        <w:jc w:val="both"/>
      </w:pPr>
    </w:p>
    <w:p w14:paraId="4019BE47" w14:textId="23B2CE17" w:rsidR="003C3737" w:rsidRPr="00A243B9" w:rsidRDefault="005A6C71" w:rsidP="00BD3A13">
      <w:pPr>
        <w:keepNext/>
        <w:keepLines/>
        <w:spacing w:line="240" w:lineRule="auto"/>
        <w:ind w:leftChars="0" w:left="0" w:firstLineChars="0" w:firstLine="0"/>
        <w:jc w:val="both"/>
      </w:pPr>
      <w:r w:rsidRPr="005A6C71">
        <w:rPr>
          <w:b/>
        </w:rPr>
        <w:t>1 INTRODUÇÃO</w:t>
      </w:r>
    </w:p>
    <w:p w14:paraId="36A57A57" w14:textId="77777777" w:rsidR="003C3737" w:rsidRPr="00A243B9" w:rsidRDefault="003C3737" w:rsidP="00BD3A13">
      <w:pPr>
        <w:spacing w:line="240" w:lineRule="auto"/>
        <w:ind w:leftChars="0" w:left="0" w:firstLineChars="0" w:firstLine="0"/>
        <w:jc w:val="both"/>
      </w:pPr>
    </w:p>
    <w:p w14:paraId="1B81ED67" w14:textId="57853146" w:rsidR="005A6C71" w:rsidRDefault="00497236" w:rsidP="00BD3A13">
      <w:pPr>
        <w:spacing w:line="240" w:lineRule="auto"/>
        <w:ind w:leftChars="0" w:left="0" w:firstLineChars="0" w:firstLine="0"/>
        <w:jc w:val="both"/>
      </w:pPr>
      <w:r w:rsidRPr="00BD705E">
        <w:t>Entre as grandes potencialidades brasileiras de recursos naturais, os rios e lagos da região amazônica</w:t>
      </w:r>
      <w:r w:rsidR="00F90E88">
        <w:t xml:space="preserve"> </w:t>
      </w:r>
      <w:r w:rsidRPr="00BD705E">
        <w:t>são tidos com uma nova fronteira de expansão para produção de grãos e como uma alternativa para redução do tempo de</w:t>
      </w:r>
      <w:r w:rsidR="00F90E88">
        <w:t xml:space="preserve"> seu</w:t>
      </w:r>
      <w:r w:rsidRPr="00BD705E">
        <w:t xml:space="preserve"> escoamento, </w:t>
      </w:r>
      <w:r w:rsidR="00F90E88">
        <w:t>proporcionando</w:t>
      </w:r>
      <w:r w:rsidRPr="00BD705E">
        <w:t xml:space="preserve"> inúmeras vantagens competitivas</w:t>
      </w:r>
      <w:r w:rsidR="0048523E">
        <w:t>.</w:t>
      </w:r>
      <w:r w:rsidR="005A6C71">
        <w:t xml:space="preserve"> </w:t>
      </w:r>
      <w:r w:rsidRPr="00BD705E">
        <w:t>O projeto Arco Norte consist</w:t>
      </w:r>
      <w:r w:rsidR="0084723A">
        <w:t xml:space="preserve">e </w:t>
      </w:r>
      <w:r w:rsidRPr="00BD705E">
        <w:t>numa iniciativa de criação do corredor de transporte e movimentação de mercadorias estabelecido através de um programa político governamental, p</w:t>
      </w:r>
      <w:r w:rsidR="00B46955">
        <w:t xml:space="preserve">ossibilitando </w:t>
      </w:r>
      <w:r w:rsidRPr="00BD705E">
        <w:t xml:space="preserve">o escoamento dos produtos pelas vias hidroviárias setentrionais inerentes a navegação fluvial interligada com o Centro-Sul do Brasil, articulada </w:t>
      </w:r>
      <w:r w:rsidR="0000651C">
        <w:t>de maneira intermodal</w:t>
      </w:r>
      <w:r w:rsidRPr="00BD705E">
        <w:t xml:space="preserve">. </w:t>
      </w:r>
      <w:r w:rsidRPr="002E1220">
        <w:t xml:space="preserve">Apesar dos desafios enfrentados pelo setor portuário em todo o país, o Porto de Santana tem se mostrado um importante </w:t>
      </w:r>
      <w:r w:rsidRPr="00AD533E">
        <w:rPr>
          <w:i/>
          <w:iCs/>
        </w:rPr>
        <w:t>hub</w:t>
      </w:r>
      <w:r w:rsidRPr="002E1220">
        <w:t xml:space="preserve"> logístico para a região Norte, atendendo a demanda crescente de produção e exportação de minério de ferro e </w:t>
      </w:r>
      <w:r w:rsidR="00DB1F62" w:rsidRPr="002E1220">
        <w:t xml:space="preserve">com </w:t>
      </w:r>
      <w:r w:rsidR="0073410D" w:rsidRPr="002E1220">
        <w:t xml:space="preserve">potencial atendimento do escoamento para </w:t>
      </w:r>
      <w:r w:rsidRPr="002E1220">
        <w:t>outros produtos da região</w:t>
      </w:r>
      <w:r w:rsidR="0000651C">
        <w:t>;</w:t>
      </w:r>
      <w:r w:rsidRPr="002E1220">
        <w:t xml:space="preserve"> o que reforça a necessidade de investimentos contínuos em infraestrutura e tecnologia para garantir sua competitividade no mercado nacional e internacional.</w:t>
      </w:r>
      <w:r w:rsidRPr="00BD705E">
        <w:t xml:space="preserve"> </w:t>
      </w:r>
    </w:p>
    <w:p w14:paraId="7AFF1FE2" w14:textId="77777777" w:rsidR="005A6C71" w:rsidRDefault="005A6C71" w:rsidP="00BD3A13">
      <w:pPr>
        <w:spacing w:line="240" w:lineRule="auto"/>
        <w:ind w:leftChars="0" w:left="0" w:firstLineChars="0" w:firstLine="0"/>
        <w:jc w:val="both"/>
      </w:pPr>
    </w:p>
    <w:p w14:paraId="4B65DB83" w14:textId="77777777" w:rsidR="00611B00" w:rsidRDefault="00497236" w:rsidP="00BD3A13">
      <w:pPr>
        <w:spacing w:line="240" w:lineRule="auto"/>
        <w:ind w:leftChars="0" w:left="0" w:firstLineChars="0" w:firstLine="0"/>
        <w:jc w:val="both"/>
      </w:pPr>
      <w:r w:rsidRPr="00BD705E">
        <w:t xml:space="preserve">No Brasil, o Porto de Santana, localizado no </w:t>
      </w:r>
      <w:r w:rsidR="006C5AE3">
        <w:t>E</w:t>
      </w:r>
      <w:r w:rsidRPr="00BD705E">
        <w:t xml:space="preserve">stado do </w:t>
      </w:r>
      <w:r w:rsidRPr="005A6C71">
        <w:t>Amapá, tem sido alvo de discussões sobre a eficiência da gestão portuária e a necessidade de investimentos em infraestrutura para melhorar a competitividade do porto</w:t>
      </w:r>
      <w:r w:rsidR="002E1220" w:rsidRPr="005A6C71">
        <w:t xml:space="preserve"> (</w:t>
      </w:r>
      <w:r w:rsidR="005A6C71" w:rsidRPr="005A6C71">
        <w:t>P</w:t>
      </w:r>
      <w:r w:rsidR="00E179BF">
        <w:t>orto</w:t>
      </w:r>
      <w:r w:rsidR="005A6C71" w:rsidRPr="005A6C71">
        <w:t>, 2020</w:t>
      </w:r>
      <w:r w:rsidR="002E1220" w:rsidRPr="005A6C71">
        <w:t>)</w:t>
      </w:r>
      <w:r w:rsidRPr="005A6C71">
        <w:t>. De acordo</w:t>
      </w:r>
      <w:r w:rsidRPr="00BD705E">
        <w:t xml:space="preserve"> com Sousa </w:t>
      </w:r>
      <w:r w:rsidRPr="00BD705E">
        <w:rPr>
          <w:i/>
        </w:rPr>
        <w:t>et al.</w:t>
      </w:r>
      <w:r w:rsidRPr="00BD705E">
        <w:t xml:space="preserve"> (2020), a gestão do Porto de Santana tem enfrentado desafios relacionados à falta de investimentos em infraestr</w:t>
      </w:r>
      <w:r w:rsidR="005A6C71">
        <w:t xml:space="preserve">utura e equipamentos, </w:t>
      </w:r>
      <w:r w:rsidRPr="00BD705E">
        <w:t>afeta</w:t>
      </w:r>
      <w:r w:rsidR="005A6C71">
        <w:t>n</w:t>
      </w:r>
      <w:r w:rsidRPr="00BD705E">
        <w:t>do a eficiência operacional</w:t>
      </w:r>
      <w:r w:rsidR="00611B00">
        <w:t xml:space="preserve">, </w:t>
      </w:r>
      <w:r w:rsidR="00225BCD">
        <w:t xml:space="preserve">e </w:t>
      </w:r>
      <w:r w:rsidRPr="00BD705E">
        <w:t xml:space="preserve">que necessitam de identificação para elaboração de soluções que levem em conta </w:t>
      </w:r>
      <w:r w:rsidR="00225BCD">
        <w:t>os</w:t>
      </w:r>
      <w:r w:rsidRPr="00BD705E">
        <w:t xml:space="preserve"> interesses dos usuários do porto e da comunidade em geral.</w:t>
      </w:r>
      <w:r w:rsidR="005A6C71">
        <w:t xml:space="preserve"> A</w:t>
      </w:r>
      <w:r w:rsidR="005A6C71" w:rsidRPr="00BD705E">
        <w:t xml:space="preserve"> sua posição geográfica privilegiada,</w:t>
      </w:r>
      <w:r w:rsidR="00976083">
        <w:t xml:space="preserve"> e</w:t>
      </w:r>
      <w:r w:rsidR="005A6C71" w:rsidRPr="00BD705E">
        <w:t xml:space="preserve"> a área de influência, </w:t>
      </w:r>
      <w:r w:rsidR="005A6C71" w:rsidRPr="00BD705E">
        <w:lastRenderedPageBreak/>
        <w:t>com atendimento a destinos internacionais, a exemplo do porto do Roterdã, na Holanda</w:t>
      </w:r>
      <w:r w:rsidR="005A6C71">
        <w:t>,</w:t>
      </w:r>
      <w:r w:rsidR="005A6C71" w:rsidRPr="00BD705E">
        <w:t xml:space="preserve"> </w:t>
      </w:r>
      <w:r w:rsidR="005A6C71">
        <w:t>confere</w:t>
      </w:r>
      <w:r w:rsidR="00976083">
        <w:t>m</w:t>
      </w:r>
      <w:r w:rsidR="005A6C71">
        <w:t>-lhe</w:t>
      </w:r>
      <w:r w:rsidR="00D55EFE">
        <w:t xml:space="preserve"> o potencial de </w:t>
      </w:r>
      <w:r w:rsidR="005A6C71">
        <w:t>ser empregado</w:t>
      </w:r>
      <w:r w:rsidRPr="00BD705E">
        <w:t xml:space="preserve"> como </w:t>
      </w:r>
      <w:r w:rsidRPr="00AD533E">
        <w:rPr>
          <w:i/>
          <w:iCs/>
        </w:rPr>
        <w:t xml:space="preserve">hub </w:t>
      </w:r>
      <w:r w:rsidRPr="00BD705E">
        <w:t xml:space="preserve">logístico regional para Europa e Ásia. </w:t>
      </w:r>
    </w:p>
    <w:p w14:paraId="15635226" w14:textId="77777777" w:rsidR="00611B00" w:rsidRDefault="00611B00" w:rsidP="00BD3A13">
      <w:pPr>
        <w:spacing w:line="240" w:lineRule="auto"/>
        <w:ind w:leftChars="0" w:left="0" w:firstLineChars="0" w:firstLine="0"/>
        <w:jc w:val="both"/>
      </w:pPr>
    </w:p>
    <w:p w14:paraId="3B150516" w14:textId="6029D803" w:rsidR="00497236" w:rsidRPr="00BD705E" w:rsidRDefault="00497236" w:rsidP="00BD3A13">
      <w:pPr>
        <w:spacing w:line="240" w:lineRule="auto"/>
        <w:ind w:leftChars="0" w:left="0" w:firstLineChars="0" w:firstLine="0"/>
        <w:jc w:val="both"/>
      </w:pPr>
      <w:r w:rsidRPr="00BD705E">
        <w:t>No entanto, há diversos critérios que</w:t>
      </w:r>
      <w:r w:rsidR="00D55EFE">
        <w:t xml:space="preserve"> </w:t>
      </w:r>
      <w:r w:rsidRPr="00E179BF">
        <w:t>são citadas na literatura recente e pelos atores envolvidos na problemática do p</w:t>
      </w:r>
      <w:r w:rsidRPr="00BD705E">
        <w:t>orto</w:t>
      </w:r>
      <w:r w:rsidR="004D4563">
        <w:t xml:space="preserve"> (</w:t>
      </w:r>
      <w:r w:rsidR="00E179BF">
        <w:t>Santos &amp; Sousa, 2021</w:t>
      </w:r>
      <w:r w:rsidR="004D4563">
        <w:t>)</w:t>
      </w:r>
      <w:r w:rsidRPr="00BD705E">
        <w:t xml:space="preserve"> que apontam melhori</w:t>
      </w:r>
      <w:r w:rsidR="00611B00">
        <w:t>a</w:t>
      </w:r>
      <w:r w:rsidRPr="00BD705E">
        <w:t>s para a integração efetiva como uma facilidade logística a ser viável no contexto do Projeto Arco Norte.</w:t>
      </w:r>
      <w:r w:rsidR="00611B00">
        <w:t xml:space="preserve"> </w:t>
      </w:r>
      <w:r w:rsidRPr="00BD705E">
        <w:t>Dentre elas, a estrutura de gestão portuária que influencia na competitividade</w:t>
      </w:r>
      <w:r w:rsidR="00976083">
        <w:t>;</w:t>
      </w:r>
      <w:r w:rsidRPr="00BD705E">
        <w:t xml:space="preserve"> a necessidade de revisão de normas, procedimentos e processos; medidas de controle de custos operacionais, e mitigação de impactos ambientais e</w:t>
      </w:r>
      <w:r w:rsidR="00976083">
        <w:t>;</w:t>
      </w:r>
      <w:r w:rsidRPr="00BD705E">
        <w:t xml:space="preserve"> ainda, em investimentos em infraestrutura e equipamentos e em recursos humanos.</w:t>
      </w:r>
      <w:r w:rsidR="0076786A" w:rsidRPr="00415E49">
        <w:t xml:space="preserve"> </w:t>
      </w:r>
      <w:r w:rsidR="00976083">
        <w:t>Portanto,</w:t>
      </w:r>
      <w:r w:rsidRPr="00BD705E">
        <w:t xml:space="preserve"> para </w:t>
      </w:r>
      <w:r w:rsidR="00976083">
        <w:t xml:space="preserve">a </w:t>
      </w:r>
      <w:r w:rsidRPr="00BD705E">
        <w:t>identificação das melhorias necessárias devem se</w:t>
      </w:r>
      <w:r w:rsidR="00976083">
        <w:t>r ponderadas</w:t>
      </w:r>
      <w:r w:rsidRPr="00BD705E">
        <w:t xml:space="preserve"> decisões estratégicas que servirão para direcionar os tomadores de decisões por onde iniciar a discussão sobre os investimentos necessários</w:t>
      </w:r>
      <w:r w:rsidR="00976083">
        <w:t>,</w:t>
      </w:r>
      <w:r w:rsidRPr="00BD705E">
        <w:t xml:space="preserve"> para fortalecer a inserção desse porto no contexto nacional para a exportação de soja</w:t>
      </w:r>
      <w:r w:rsidR="00976083">
        <w:t>, tais como</w:t>
      </w:r>
      <w:r w:rsidRPr="00BD705E">
        <w:t xml:space="preserve"> aspectos </w:t>
      </w:r>
      <w:r w:rsidR="00976083">
        <w:t>de</w:t>
      </w:r>
      <w:r w:rsidRPr="00BD705E">
        <w:t xml:space="preserve"> capacidade de armazenamento, infraestrutura de transporte terrestre e fluvial, além da modernização dos equipamentos de carga e descarga. Em termos de infraestrutura portuária, </w:t>
      </w:r>
      <w:r w:rsidR="00976083">
        <w:t>um</w:t>
      </w:r>
      <w:r w:rsidRPr="00BD705E">
        <w:t xml:space="preserve"> estudo para ampliação </w:t>
      </w:r>
      <w:r w:rsidR="00976083">
        <w:t>da capacidade do porto em receber</w:t>
      </w:r>
      <w:r w:rsidRPr="00BD705E">
        <w:t xml:space="preserve"> maior volume de navios de grande porte</w:t>
      </w:r>
      <w:r w:rsidR="00976083">
        <w:t xml:space="preserve"> seria interessante para</w:t>
      </w:r>
      <w:r w:rsidRPr="00BD705E">
        <w:t xml:space="preserve"> aumentar a eficiência operacional, </w:t>
      </w:r>
      <w:r w:rsidR="00976083">
        <w:t>como</w:t>
      </w:r>
      <w:r w:rsidRPr="00BD705E">
        <w:t xml:space="preserve"> também</w:t>
      </w:r>
      <w:r w:rsidR="00976083">
        <w:t>, para</w:t>
      </w:r>
      <w:r w:rsidRPr="00BD705E">
        <w:t xml:space="preserve"> atrair</w:t>
      </w:r>
      <w:r w:rsidR="00976083">
        <w:t xml:space="preserve"> </w:t>
      </w:r>
      <w:r w:rsidRPr="00BD705E">
        <w:t>novos investimentos e ampliar a competitividade no cenário global. Por fim, a capacitação de mão-de-obra e o desenvolvimento de parcerias estratégicas com investidores e operadores logísticos pod</w:t>
      </w:r>
      <w:r w:rsidR="00976083">
        <w:t>eriam</w:t>
      </w:r>
      <w:r w:rsidRPr="00BD705E">
        <w:t xml:space="preserve"> fortalecer a posição do Porto de Santana como um </w:t>
      </w:r>
      <w:r w:rsidRPr="00AD533E">
        <w:rPr>
          <w:i/>
          <w:iCs/>
        </w:rPr>
        <w:t>hub</w:t>
      </w:r>
      <w:r w:rsidRPr="00BD705E">
        <w:t xml:space="preserve"> logístico viável para o escoamento da soja no Arco Norte.</w:t>
      </w:r>
    </w:p>
    <w:p w14:paraId="539BADD9" w14:textId="77777777" w:rsidR="00F13088" w:rsidRDefault="00F13088" w:rsidP="00BD3A13">
      <w:pPr>
        <w:ind w:leftChars="0" w:left="0" w:firstLineChars="0" w:firstLine="0"/>
        <w:jc w:val="both"/>
      </w:pPr>
    </w:p>
    <w:p w14:paraId="5FB17A53" w14:textId="1E5BD1DF" w:rsidR="00F13088" w:rsidRDefault="00746A5B" w:rsidP="00BD3A13">
      <w:pPr>
        <w:ind w:leftChars="0" w:left="0" w:firstLineChars="0" w:firstLine="0"/>
        <w:jc w:val="both"/>
      </w:pPr>
      <w:r>
        <w:t>Diante do exposto, o</w:t>
      </w:r>
      <w:r w:rsidR="00F13088">
        <w:t xml:space="preserve"> </w:t>
      </w:r>
      <w:r w:rsidR="00F13088" w:rsidRPr="00E179BF">
        <w:t>problema</w:t>
      </w:r>
      <w:r w:rsidR="00976083">
        <w:t xml:space="preserve"> d</w:t>
      </w:r>
      <w:r>
        <w:t>este</w:t>
      </w:r>
      <w:r w:rsidR="00976083">
        <w:t xml:space="preserve"> trabalho</w:t>
      </w:r>
      <w:r w:rsidR="00F13088" w:rsidRPr="00E179BF">
        <w:t xml:space="preserve"> se configur</w:t>
      </w:r>
      <w:r w:rsidR="00976083">
        <w:t>ou</w:t>
      </w:r>
      <w:r w:rsidR="00CE0BEE" w:rsidRPr="00E179BF">
        <w:t xml:space="preserve"> </w:t>
      </w:r>
      <w:r w:rsidR="00F13088" w:rsidRPr="00E179BF">
        <w:t xml:space="preserve">em buscar responder os seguintes questionamentos: </w:t>
      </w:r>
      <w:r w:rsidR="00F13088" w:rsidRPr="00E179BF">
        <w:rPr>
          <w:color w:val="0F0F0F"/>
        </w:rPr>
        <w:t xml:space="preserve">quais são os principais </w:t>
      </w:r>
      <w:r w:rsidR="00E179BF" w:rsidRPr="00E179BF">
        <w:rPr>
          <w:color w:val="0F0F0F"/>
        </w:rPr>
        <w:t xml:space="preserve">aspectos críticos </w:t>
      </w:r>
      <w:r w:rsidR="00F13088" w:rsidRPr="00E179BF">
        <w:rPr>
          <w:color w:val="0F0F0F"/>
        </w:rPr>
        <w:t>que influenciam no desempenho do Porto de Santana e</w:t>
      </w:r>
      <w:r w:rsidR="00CE0BEE" w:rsidRPr="00E179BF">
        <w:rPr>
          <w:color w:val="0F0F0F"/>
        </w:rPr>
        <w:t>,</w:t>
      </w:r>
      <w:r w:rsidR="00F13088" w:rsidRPr="00E179BF">
        <w:rPr>
          <w:color w:val="0F0F0F"/>
        </w:rPr>
        <w:t xml:space="preserve"> como esses elementos são avaliados</w:t>
      </w:r>
      <w:r w:rsidR="00CE0BEE" w:rsidRPr="00E179BF">
        <w:rPr>
          <w:color w:val="0F0F0F"/>
        </w:rPr>
        <w:t>?</w:t>
      </w:r>
      <w:r w:rsidR="00F13088" w:rsidRPr="00E179BF">
        <w:rPr>
          <w:color w:val="0F0F0F"/>
        </w:rPr>
        <w:t xml:space="preserve"> </w:t>
      </w:r>
      <w:r w:rsidR="00CE0BEE" w:rsidRPr="00E179BF">
        <w:rPr>
          <w:color w:val="0F0F0F"/>
        </w:rPr>
        <w:t>E, ainda,</w:t>
      </w:r>
      <w:r w:rsidR="00F13088" w:rsidRPr="00E179BF">
        <w:rPr>
          <w:color w:val="0F0F0F"/>
        </w:rPr>
        <w:t xml:space="preserve"> </w:t>
      </w:r>
      <w:r w:rsidR="00CE0BEE" w:rsidRPr="00E179BF">
        <w:rPr>
          <w:color w:val="0F0F0F"/>
        </w:rPr>
        <w:t xml:space="preserve">quais </w:t>
      </w:r>
      <w:r w:rsidR="00F13088" w:rsidRPr="00E179BF">
        <w:rPr>
          <w:color w:val="0F0F0F"/>
        </w:rPr>
        <w:t>os investimentos necessários</w:t>
      </w:r>
      <w:r w:rsidR="00CE0BEE" w:rsidRPr="00E179BF">
        <w:rPr>
          <w:color w:val="0F0F0F"/>
        </w:rPr>
        <w:t>?</w:t>
      </w:r>
      <w:r>
        <w:rPr>
          <w:color w:val="0F0F0F"/>
        </w:rPr>
        <w:t xml:space="preserve"> A hipótese foi de que </w:t>
      </w:r>
      <w:r w:rsidR="00611B00">
        <w:t>as respostas a tais questionamentos têm</w:t>
      </w:r>
      <w:r w:rsidR="00F13088">
        <w:t xml:space="preserve"> relevância para a discussão em sociedade </w:t>
      </w:r>
      <w:r w:rsidR="00F13088" w:rsidRPr="00E179BF">
        <w:t xml:space="preserve">sobre o futuro do porto de Santana, frente ao atendimento da capacidade efetiva da demanda existente e a projetada, oriundas dos corredores logísticos </w:t>
      </w:r>
      <w:r w:rsidR="003737F7" w:rsidRPr="00E179BF">
        <w:t>contidos</w:t>
      </w:r>
      <w:r w:rsidR="00F13088" w:rsidRPr="00E179BF">
        <w:t xml:space="preserve"> </w:t>
      </w:r>
      <w:r w:rsidR="003737F7" w:rsidRPr="00E179BF">
        <w:t>n</w:t>
      </w:r>
      <w:r w:rsidR="00F13088" w:rsidRPr="00E179BF">
        <w:t xml:space="preserve">o </w:t>
      </w:r>
      <w:r w:rsidR="00CE0BEE" w:rsidRPr="00E179BF">
        <w:t xml:space="preserve">chamado </w:t>
      </w:r>
      <w:r w:rsidR="00F13088" w:rsidRPr="00E179BF">
        <w:t>projeto Arco Norte</w:t>
      </w:r>
      <w:r w:rsidR="003737F7" w:rsidRPr="00E179BF">
        <w:t xml:space="preserve"> (</w:t>
      </w:r>
      <w:r w:rsidR="00053AB7">
        <w:t>BRASIL</w:t>
      </w:r>
      <w:r w:rsidR="00C44322" w:rsidRPr="00E179BF">
        <w:t>, 2017</w:t>
      </w:r>
      <w:r w:rsidR="003737F7" w:rsidRPr="00E179BF">
        <w:t>)</w:t>
      </w:r>
      <w:r w:rsidR="00611B00">
        <w:t>. O ponto de partida da investigação teve como público-alvo os agentes diretamente envolvidos com as operações portuárias</w:t>
      </w:r>
      <w:r>
        <w:t>, com larga experiência profissional com o respectivo porto,</w:t>
      </w:r>
      <w:r w:rsidR="00247DB4">
        <w:t xml:space="preserve"> subsidiando o estudo em relação aos critérios e aos investimentos necessários</w:t>
      </w:r>
      <w:r>
        <w:t>.</w:t>
      </w:r>
      <w:r w:rsidR="00F13088">
        <w:t xml:space="preserve"> </w:t>
      </w:r>
    </w:p>
    <w:p w14:paraId="4923BBC8" w14:textId="77777777" w:rsidR="0076786A" w:rsidRDefault="0076786A" w:rsidP="00BD3A13">
      <w:pPr>
        <w:ind w:leftChars="0" w:left="0" w:firstLineChars="0" w:firstLine="0"/>
        <w:jc w:val="both"/>
      </w:pPr>
    </w:p>
    <w:p w14:paraId="4B30ED02" w14:textId="3BFFEFC5" w:rsidR="007936BC" w:rsidRPr="00194FC6" w:rsidRDefault="00F13088" w:rsidP="00BD3A13">
      <w:pPr>
        <w:ind w:leftChars="0" w:left="0" w:firstLineChars="0" w:firstLine="0"/>
        <w:jc w:val="both"/>
      </w:pPr>
      <w:r>
        <w:t xml:space="preserve">Portanto, </w:t>
      </w:r>
      <w:r>
        <w:rPr>
          <w:rStyle w:val="y2iqfc"/>
          <w:rFonts w:eastAsiaTheme="majorEastAsia"/>
        </w:rPr>
        <w:t xml:space="preserve">o </w:t>
      </w:r>
      <w:r w:rsidRPr="00053AB7">
        <w:rPr>
          <w:rStyle w:val="y2iqfc"/>
          <w:rFonts w:eastAsiaTheme="majorEastAsia"/>
        </w:rPr>
        <w:t xml:space="preserve">presente </w:t>
      </w:r>
      <w:r w:rsidR="008D6078" w:rsidRPr="00053AB7">
        <w:rPr>
          <w:rStyle w:val="y2iqfc"/>
          <w:rFonts w:eastAsiaTheme="majorEastAsia"/>
        </w:rPr>
        <w:t>trabalho</w:t>
      </w:r>
      <w:r w:rsidRPr="00053AB7">
        <w:rPr>
          <w:rStyle w:val="y2iqfc"/>
          <w:rFonts w:eastAsiaTheme="majorEastAsia"/>
        </w:rPr>
        <w:t xml:space="preserve"> apresenta os resultados de uma pesquisa</w:t>
      </w:r>
      <w:r w:rsidR="00746A5B">
        <w:rPr>
          <w:rStyle w:val="y2iqfc"/>
          <w:rFonts w:eastAsiaTheme="majorEastAsia"/>
        </w:rPr>
        <w:t xml:space="preserve"> </w:t>
      </w:r>
      <w:r>
        <w:rPr>
          <w:rStyle w:val="y2iqfc"/>
          <w:rFonts w:eastAsiaTheme="majorEastAsia"/>
        </w:rPr>
        <w:t>que teve como objetivo a</w:t>
      </w:r>
      <w:r>
        <w:t>valiar os critérios que influenci</w:t>
      </w:r>
      <w:r w:rsidR="00746A5B">
        <w:t>a</w:t>
      </w:r>
      <w:r>
        <w:t>m no</w:t>
      </w:r>
      <w:r w:rsidR="008D6078">
        <w:t xml:space="preserve"> desempenho do Porto de Santana;</w:t>
      </w:r>
      <w:r>
        <w:t xml:space="preserve"> </w:t>
      </w:r>
      <w:r w:rsidR="008D6078">
        <w:t xml:space="preserve">com seleção prévia, por meio de reuniões com os </w:t>
      </w:r>
      <w:r w:rsidR="008D6078" w:rsidRPr="008D6078">
        <w:t xml:space="preserve">agentes envolvidos com o porto, doravante denominados de </w:t>
      </w:r>
      <w:r w:rsidR="008D6078" w:rsidRPr="008D6078">
        <w:rPr>
          <w:i/>
        </w:rPr>
        <w:t>stakeholders</w:t>
      </w:r>
      <w:r w:rsidR="008D6078">
        <w:t>, os quais definiram critérios prioritários, que direcionaram a estruturação do questionário aplicado, para subsidiar</w:t>
      </w:r>
      <w:r w:rsidR="00746A5B">
        <w:t xml:space="preserve"> a aplicação</w:t>
      </w:r>
      <w:r w:rsidR="008D6078">
        <w:t xml:space="preserve"> </w:t>
      </w:r>
      <w:r w:rsidR="00746A5B">
        <w:t>d</w:t>
      </w:r>
      <w:r w:rsidR="008D6078">
        <w:t xml:space="preserve">o método </w:t>
      </w:r>
      <w:proofErr w:type="spellStart"/>
      <w:r w:rsidR="00CE0BEE" w:rsidRPr="00A243B9">
        <w:rPr>
          <w:i/>
        </w:rPr>
        <w:t>Analytic</w:t>
      </w:r>
      <w:proofErr w:type="spellEnd"/>
      <w:r w:rsidR="00CE0BEE" w:rsidRPr="00A243B9">
        <w:rPr>
          <w:i/>
        </w:rPr>
        <w:t xml:space="preserve"> </w:t>
      </w:r>
      <w:proofErr w:type="spellStart"/>
      <w:r w:rsidR="00CE0BEE" w:rsidRPr="00A243B9">
        <w:rPr>
          <w:i/>
        </w:rPr>
        <w:t>Hierarchy</w:t>
      </w:r>
      <w:proofErr w:type="spellEnd"/>
      <w:r w:rsidR="00CE0BEE" w:rsidRPr="00A243B9">
        <w:rPr>
          <w:i/>
        </w:rPr>
        <w:t xml:space="preserve"> </w:t>
      </w:r>
      <w:proofErr w:type="spellStart"/>
      <w:r w:rsidR="00CE0BEE" w:rsidRPr="00A243B9">
        <w:rPr>
          <w:i/>
        </w:rPr>
        <w:t>Process</w:t>
      </w:r>
      <w:proofErr w:type="spellEnd"/>
      <w:r w:rsidR="00CE0BEE" w:rsidRPr="00A243B9">
        <w:t xml:space="preserve"> </w:t>
      </w:r>
      <w:r w:rsidR="00746A5B">
        <w:t>–</w:t>
      </w:r>
      <w:r w:rsidR="00CE0BEE" w:rsidRPr="00A243B9">
        <w:t xml:space="preserve"> AHP</w:t>
      </w:r>
      <w:r w:rsidR="00746A5B">
        <w:t>, tendo como</w:t>
      </w:r>
      <w:r w:rsidR="00194FC6">
        <w:t xml:space="preserve"> suporte computacional </w:t>
      </w:r>
      <w:r w:rsidR="00746A5B">
        <w:t>o</w:t>
      </w:r>
      <w:r w:rsidR="00194FC6">
        <w:t xml:space="preserve"> </w:t>
      </w:r>
      <w:r w:rsidR="00194FC6" w:rsidRPr="009B7A08">
        <w:rPr>
          <w:i/>
        </w:rPr>
        <w:t>software Superdecisions</w:t>
      </w:r>
      <w:r w:rsidR="00194FC6">
        <w:t>.</w:t>
      </w:r>
    </w:p>
    <w:p w14:paraId="2F11C6B9" w14:textId="7F0DA31A" w:rsidR="007936BC" w:rsidRPr="00A243B9" w:rsidRDefault="007936BC" w:rsidP="00BD3A13">
      <w:pPr>
        <w:spacing w:line="240" w:lineRule="auto"/>
        <w:ind w:leftChars="0" w:left="0" w:firstLineChars="0" w:firstLine="0"/>
        <w:jc w:val="both"/>
        <w:rPr>
          <w:b/>
        </w:rPr>
      </w:pPr>
    </w:p>
    <w:p w14:paraId="220A101D" w14:textId="58691701" w:rsidR="00827B81" w:rsidRPr="00A243B9" w:rsidRDefault="0020230B" w:rsidP="00BD3A13">
      <w:pPr>
        <w:keepNext/>
        <w:keepLines/>
        <w:spacing w:line="240" w:lineRule="auto"/>
        <w:ind w:leftChars="0" w:left="0" w:firstLineChars="0" w:firstLine="0"/>
        <w:jc w:val="both"/>
      </w:pPr>
      <w:bookmarkStart w:id="0" w:name="_Hlk171505056"/>
      <w:r w:rsidRPr="00A243B9">
        <w:rPr>
          <w:b/>
        </w:rPr>
        <w:t xml:space="preserve">2 </w:t>
      </w:r>
      <w:r w:rsidR="00C36921">
        <w:rPr>
          <w:b/>
        </w:rPr>
        <w:t>O PROJETO ARCO NORTE E O PORTO DE SANTANA</w:t>
      </w:r>
      <w:r w:rsidR="00DB5434" w:rsidRPr="00A243B9">
        <w:rPr>
          <w:b/>
        </w:rPr>
        <w:t xml:space="preserve"> </w:t>
      </w:r>
    </w:p>
    <w:bookmarkEnd w:id="0"/>
    <w:p w14:paraId="287816A9" w14:textId="77777777" w:rsidR="00827B81" w:rsidRPr="00A243B9" w:rsidRDefault="00827B81" w:rsidP="00BD3A13">
      <w:pPr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7AFC9546" w14:textId="13FE0DF8" w:rsidR="00E62B44" w:rsidRPr="00A243B9" w:rsidRDefault="00827B81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Os corredores logísticos no Brasil são estratégicos para a movimentação de mercadorias no país e para a conexão com outros países. Na Amazônia brasileira, esses corredores são ainda mais importantes devido às particularidades da região, como a vasta extensão territorial e as condições geográficas e climáticas desafiadoras. </w:t>
      </w:r>
      <w:r w:rsidR="00517BB8" w:rsidRPr="00A243B9">
        <w:t xml:space="preserve">O aproveitamento e a </w:t>
      </w:r>
      <w:r w:rsidRPr="00A243B9">
        <w:t xml:space="preserve">implantação de infraestrutura adequada para o transporte de cargas </w:t>
      </w:r>
      <w:r w:rsidR="004C769B" w:rsidRPr="00A243B9">
        <w:t xml:space="preserve">são </w:t>
      </w:r>
      <w:r w:rsidRPr="00A243B9">
        <w:t>fundamenta</w:t>
      </w:r>
      <w:r w:rsidR="004C769B" w:rsidRPr="00A243B9">
        <w:t>is</w:t>
      </w:r>
      <w:r w:rsidRPr="00A243B9">
        <w:t xml:space="preserve"> para o desenvolvimento da região e</w:t>
      </w:r>
      <w:r w:rsidR="00517BB8" w:rsidRPr="00A243B9">
        <w:t>,</w:t>
      </w:r>
      <w:r w:rsidRPr="00A243B9">
        <w:t xml:space="preserve"> para a </w:t>
      </w:r>
      <w:r w:rsidR="00BC7B04">
        <w:t>respe</w:t>
      </w:r>
      <w:r w:rsidR="00746A5B">
        <w:t>c</w:t>
      </w:r>
      <w:r w:rsidR="00BC7B04">
        <w:t xml:space="preserve">tiva </w:t>
      </w:r>
      <w:r w:rsidRPr="00A243B9">
        <w:t xml:space="preserve">integração com o resto do país e do mundo. </w:t>
      </w:r>
      <w:r w:rsidR="00517BB8" w:rsidRPr="00A243B9">
        <w:t>É</w:t>
      </w:r>
      <w:r w:rsidRPr="00A243B9">
        <w:t xml:space="preserve"> preciso encontrar um equilíbrio entre a necessidade de infraestrutura e a pres</w:t>
      </w:r>
      <w:r w:rsidR="005A0713" w:rsidRPr="00A243B9">
        <w:t xml:space="preserve">ervação ambiental, garantindo a </w:t>
      </w:r>
      <w:r w:rsidRPr="00053AB7">
        <w:t xml:space="preserve">sustentabilidade dos corredores </w:t>
      </w:r>
      <w:r w:rsidR="00983371" w:rsidRPr="00053AB7">
        <w:t>logísticos na Amazônia (</w:t>
      </w:r>
      <w:r w:rsidR="00E179BF" w:rsidRPr="00053AB7">
        <w:t>Souza</w:t>
      </w:r>
      <w:r w:rsidRPr="00053AB7">
        <w:t>, 202</w:t>
      </w:r>
      <w:r w:rsidR="00A13B63" w:rsidRPr="00053AB7">
        <w:t>0</w:t>
      </w:r>
      <w:r w:rsidRPr="00053AB7">
        <w:t>).</w:t>
      </w:r>
      <w:r w:rsidR="00226AE6" w:rsidRPr="00053AB7">
        <w:t xml:space="preserve"> </w:t>
      </w:r>
      <w:r w:rsidR="00517BB8" w:rsidRPr="00053AB7">
        <w:t xml:space="preserve">Vale ressaltar que, </w:t>
      </w:r>
      <w:r w:rsidRPr="00053AB7">
        <w:t xml:space="preserve">o </w:t>
      </w:r>
      <w:r w:rsidRPr="00053AB7">
        <w:lastRenderedPageBreak/>
        <w:t>transporte fluvial do Brasil corresponde a aproximadamente 13% da matriz de transporte do país (</w:t>
      </w:r>
      <w:r w:rsidR="00E179BF" w:rsidRPr="00053AB7">
        <w:t>CONAB</w:t>
      </w:r>
      <w:r w:rsidRPr="00053AB7">
        <w:t>, 20</w:t>
      </w:r>
      <w:r w:rsidR="00A13B63" w:rsidRPr="00053AB7">
        <w:t>21</w:t>
      </w:r>
      <w:r w:rsidRPr="00053AB7">
        <w:t>)</w:t>
      </w:r>
      <w:r w:rsidR="00517BB8" w:rsidRPr="00053AB7">
        <w:t xml:space="preserve">, o que deixa a desejar, principalmente, quando comparado à países de dimensão territorial semelhante. </w:t>
      </w:r>
      <w:r w:rsidRPr="00053AB7">
        <w:t xml:space="preserve">O desafio logístico em aumentar </w:t>
      </w:r>
      <w:r w:rsidR="00517BB8" w:rsidRPr="00053AB7">
        <w:t>o uso do transporte hidroviário</w:t>
      </w:r>
      <w:r w:rsidRPr="00053AB7">
        <w:t xml:space="preserve"> tem </w:t>
      </w:r>
      <w:r w:rsidR="001E058E" w:rsidRPr="00053AB7">
        <w:t xml:space="preserve">estado na </w:t>
      </w:r>
      <w:r w:rsidRPr="00053AB7">
        <w:t xml:space="preserve">pauta </w:t>
      </w:r>
      <w:r w:rsidR="001E058E" w:rsidRPr="00053AB7">
        <w:t>de</w:t>
      </w:r>
      <w:r w:rsidR="00517BB8" w:rsidRPr="00053AB7">
        <w:t xml:space="preserve"> mesa</w:t>
      </w:r>
      <w:r w:rsidR="001E058E" w:rsidRPr="00053AB7">
        <w:t>s</w:t>
      </w:r>
      <w:r w:rsidR="00517BB8" w:rsidRPr="00053AB7">
        <w:t xml:space="preserve"> de</w:t>
      </w:r>
      <w:r w:rsidRPr="00053AB7">
        <w:t xml:space="preserve"> tomada de decisões</w:t>
      </w:r>
      <w:r w:rsidR="00517BB8" w:rsidRPr="00053AB7">
        <w:t xml:space="preserve"> composta</w:t>
      </w:r>
      <w:r w:rsidR="004C769B" w:rsidRPr="00053AB7">
        <w:t>s</w:t>
      </w:r>
      <w:r w:rsidR="00517BB8" w:rsidRPr="00053AB7">
        <w:t xml:space="preserve"> pelos </w:t>
      </w:r>
      <w:r w:rsidR="00517BB8" w:rsidRPr="00053AB7">
        <w:rPr>
          <w:i/>
        </w:rPr>
        <w:t>stakeholders</w:t>
      </w:r>
      <w:r w:rsidRPr="00053AB7">
        <w:t xml:space="preserve">, </w:t>
      </w:r>
      <w:r w:rsidR="00517BB8" w:rsidRPr="00053AB7">
        <w:t>como forma de redução</w:t>
      </w:r>
      <w:r w:rsidRPr="00053AB7">
        <w:t xml:space="preserve"> </w:t>
      </w:r>
      <w:r w:rsidR="00517BB8" w:rsidRPr="00053AB7">
        <w:t>d</w:t>
      </w:r>
      <w:r w:rsidRPr="00053AB7">
        <w:t xml:space="preserve">os custos </w:t>
      </w:r>
      <w:r w:rsidR="00517BB8" w:rsidRPr="00053AB7">
        <w:t>logísticos do</w:t>
      </w:r>
      <w:r w:rsidRPr="00053AB7">
        <w:t xml:space="preserve"> transporte de cargas</w:t>
      </w:r>
      <w:r w:rsidR="00517BB8" w:rsidRPr="00053AB7">
        <w:t>.</w:t>
      </w:r>
      <w:r w:rsidR="00517BB8" w:rsidRPr="00A243B9">
        <w:t xml:space="preserve"> </w:t>
      </w:r>
      <w:r w:rsidRPr="00A243B9">
        <w:t xml:space="preserve"> </w:t>
      </w:r>
    </w:p>
    <w:p w14:paraId="23A4A927" w14:textId="77777777" w:rsidR="00E62B44" w:rsidRPr="00A243B9" w:rsidRDefault="00E62B44" w:rsidP="00BD3A13">
      <w:pPr>
        <w:spacing w:line="240" w:lineRule="auto"/>
        <w:ind w:leftChars="0" w:left="0" w:firstLineChars="0" w:firstLine="0"/>
        <w:jc w:val="both"/>
      </w:pPr>
    </w:p>
    <w:p w14:paraId="1D26D259" w14:textId="514169CB" w:rsidR="00053AB7" w:rsidRDefault="00E62B44" w:rsidP="00BD3A13">
      <w:pPr>
        <w:spacing w:line="240" w:lineRule="auto"/>
        <w:ind w:leftChars="0" w:left="0" w:firstLineChars="0" w:firstLine="0"/>
        <w:jc w:val="both"/>
      </w:pPr>
      <w:r w:rsidRPr="00A243B9">
        <w:t>À crescente evolução e elevada produtividade de soja e milho na região Centro-Oeste do Brasil, teve como respostas diversas propostas de expansão da rede de transporte na região, inseri</w:t>
      </w:r>
      <w:r w:rsidR="001E058E" w:rsidRPr="00A243B9">
        <w:t>n</w:t>
      </w:r>
      <w:r w:rsidRPr="00A243B9">
        <w:t xml:space="preserve">do as infraestruturas viárias e portuárias da região Norte, destacando-se o projeto Arco Norte. Este projeto, de iniciativa governamental, consistiu na criação do corredor de transporte e </w:t>
      </w:r>
      <w:r w:rsidR="001E058E" w:rsidRPr="00A243B9">
        <w:t>movimentação</w:t>
      </w:r>
      <w:r w:rsidRPr="00A243B9">
        <w:t xml:space="preserve"> de mercadorias propondo o escoamento dos produtos pelas vias navegáveis </w:t>
      </w:r>
      <w:r w:rsidR="00247DB4">
        <w:t xml:space="preserve">no </w:t>
      </w:r>
      <w:r w:rsidRPr="00A243B9">
        <w:t>sentido Centro-Oeste-Norte</w:t>
      </w:r>
      <w:r w:rsidR="00DB5434" w:rsidRPr="00A243B9">
        <w:t xml:space="preserve"> e</w:t>
      </w:r>
      <w:r w:rsidRPr="00A243B9">
        <w:t>, de forma complementar e interligada</w:t>
      </w:r>
      <w:r w:rsidR="00DB5434" w:rsidRPr="00A243B9">
        <w:t>,</w:t>
      </w:r>
      <w:r w:rsidRPr="00A243B9">
        <w:t xml:space="preserve"> com as rotas atuais de escoamento da produção agrícola do Centro-Sul do Brasil, articulada com a modalidade rodoviária. Na Figura </w:t>
      </w:r>
      <w:r w:rsidR="001A7074" w:rsidRPr="00A243B9">
        <w:t>1</w:t>
      </w:r>
      <w:r w:rsidRPr="00A243B9">
        <w:t>, tem-se a representação esquemática da infraestrutura envolvida no projeto Arco Norte e o destaque das mesmas na região Norte</w:t>
      </w:r>
      <w:r w:rsidR="001A7074" w:rsidRPr="00A243B9">
        <w:t>.</w:t>
      </w:r>
    </w:p>
    <w:p w14:paraId="0CFD2C8B" w14:textId="67A29ABF" w:rsidR="00053AB7" w:rsidRDefault="00053AB7" w:rsidP="00BD3A13">
      <w:pPr>
        <w:spacing w:line="240" w:lineRule="auto"/>
        <w:ind w:leftChars="0" w:left="0" w:firstLineChars="0" w:firstLine="0"/>
        <w:jc w:val="both"/>
      </w:pPr>
    </w:p>
    <w:p w14:paraId="7741BF23" w14:textId="77777777" w:rsidR="00053AB7" w:rsidRPr="00A243B9" w:rsidRDefault="00053AB7" w:rsidP="00BD3A13">
      <w:pPr>
        <w:spacing w:line="240" w:lineRule="auto"/>
        <w:ind w:leftChars="0" w:left="0" w:firstLineChars="0" w:firstLine="0"/>
        <w:jc w:val="center"/>
      </w:pPr>
      <w:r w:rsidRPr="008F5E8C">
        <w:rPr>
          <w:b/>
          <w:sz w:val="20"/>
          <w:szCs w:val="20"/>
        </w:rPr>
        <w:t>Fig</w:t>
      </w:r>
      <w:r>
        <w:rPr>
          <w:b/>
          <w:sz w:val="20"/>
          <w:szCs w:val="20"/>
        </w:rPr>
        <w:t xml:space="preserve">ura </w:t>
      </w:r>
      <w:r w:rsidRPr="008F5E8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Pr="008F5E8C">
        <w:rPr>
          <w:b/>
          <w:sz w:val="20"/>
          <w:szCs w:val="20"/>
        </w:rPr>
        <w:t xml:space="preserve"> </w:t>
      </w:r>
      <w:r w:rsidRPr="008F5E8C">
        <w:rPr>
          <w:sz w:val="20"/>
          <w:szCs w:val="20"/>
        </w:rPr>
        <w:t>Projeto Arco Norte e infraestruturas da região Norte</w:t>
      </w:r>
    </w:p>
    <w:p w14:paraId="304E951B" w14:textId="77777777" w:rsidR="00053AB7" w:rsidRPr="00A243B9" w:rsidRDefault="00053AB7" w:rsidP="00BD3A13">
      <w:pPr>
        <w:spacing w:line="240" w:lineRule="auto"/>
        <w:ind w:leftChars="0" w:left="0" w:firstLineChars="0" w:firstLine="0"/>
        <w:jc w:val="both"/>
      </w:pPr>
    </w:p>
    <w:p w14:paraId="51BAFC28" w14:textId="0085DBD2" w:rsidR="00053AB7" w:rsidRPr="00A243B9" w:rsidRDefault="0079356B" w:rsidP="00BD3A13">
      <w:pPr>
        <w:spacing w:line="240" w:lineRule="auto"/>
        <w:ind w:leftChars="0" w:left="0" w:firstLineChars="0" w:firstLine="0"/>
        <w:jc w:val="center"/>
      </w:pPr>
      <w:r w:rsidRPr="0079356B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3" behindDoc="0" locked="0" layoutInCell="1" allowOverlap="1" wp14:anchorId="39410249" wp14:editId="2856DF0F">
                <wp:simplePos x="0" y="0"/>
                <wp:positionH relativeFrom="column">
                  <wp:posOffset>4176394</wp:posOffset>
                </wp:positionH>
                <wp:positionV relativeFrom="paragraph">
                  <wp:posOffset>3850640</wp:posOffset>
                </wp:positionV>
                <wp:extent cx="1095375" cy="238125"/>
                <wp:effectExtent l="0" t="0" r="9525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1CE4" w14:textId="568A682B" w:rsidR="00F4244B" w:rsidRPr="00911DF7" w:rsidRDefault="00F424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11DF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Porto de Santana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102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8.85pt;margin-top:303.2pt;width:86.25pt;height:18.75pt;z-index:2516669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" stroked="f" strokeweight="0">
                <v:textbox>
                  <w:txbxContent>
                    <w:p w14:paraId="5B521CE4" w14:textId="568A682B" w:rsidR="00F4244B" w:rsidRPr="00911DF7" w:rsidRDefault="00F4244B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11DF7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Porto de Santana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BE17FA" wp14:editId="01A4AF9C">
                <wp:simplePos x="0" y="0"/>
                <wp:positionH relativeFrom="column">
                  <wp:posOffset>2680970</wp:posOffset>
                </wp:positionH>
                <wp:positionV relativeFrom="paragraph">
                  <wp:posOffset>412114</wp:posOffset>
                </wp:positionV>
                <wp:extent cx="190500" cy="142875"/>
                <wp:effectExtent l="0" t="0" r="19050" b="28575"/>
                <wp:wrapNone/>
                <wp:docPr id="222001287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B70A8D6" id="Elipse 2" o:spid="_x0000_s1026" style="position:absolute;margin-left:211.1pt;margin-top:32.45pt;width:1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" filled="f" strokecolor="black [3200]" strokeweight="2pt"/>
            </w:pict>
          </mc:Fallback>
        </mc:AlternateContent>
      </w:r>
      <w:r w:rsidR="00053AB7" w:rsidRPr="00372F3C">
        <w:rPr>
          <w:noProof/>
        </w:rPr>
        <w:drawing>
          <wp:inline distT="0" distB="0" distL="0" distR="0" wp14:anchorId="011C3076" wp14:editId="6BF44755">
            <wp:extent cx="4419600" cy="3853054"/>
            <wp:effectExtent l="0" t="0" r="0" b="0"/>
            <wp:docPr id="1" name="Imagem 1" descr="C:\Users\Alisson\Downloads\MAP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son\Downloads\MAPA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90" cy="38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7216" w14:textId="4BB52CD6" w:rsidR="00053AB7" w:rsidRPr="008F5E8C" w:rsidRDefault="0079356B" w:rsidP="00BD3A13">
      <w:pPr>
        <w:spacing w:line="240" w:lineRule="auto"/>
        <w:ind w:leftChars="0" w:left="0" w:firstLineChars="0" w:firstLine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B5D762" wp14:editId="6980CBA5">
                <wp:simplePos x="0" y="0"/>
                <wp:positionH relativeFrom="column">
                  <wp:posOffset>3985894</wp:posOffset>
                </wp:positionH>
                <wp:positionV relativeFrom="paragraph">
                  <wp:posOffset>29846</wp:posOffset>
                </wp:positionV>
                <wp:extent cx="161925" cy="114300"/>
                <wp:effectExtent l="0" t="0" r="28575" b="19050"/>
                <wp:wrapNone/>
                <wp:docPr id="1425709829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6C278E2" id="Elipse 3" o:spid="_x0000_s1026" style="position:absolute;margin-left:313.85pt;margin-top:2.35pt;width:12.75pt;height:9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" fillcolor="white [3201]" strokecolor="black [3200]" strokeweight="2pt"/>
            </w:pict>
          </mc:Fallback>
        </mc:AlternateContent>
      </w:r>
    </w:p>
    <w:p w14:paraId="36809C5B" w14:textId="77777777" w:rsidR="0079356B" w:rsidRDefault="0079356B" w:rsidP="00BD3A13">
      <w:pPr>
        <w:spacing w:line="240" w:lineRule="auto"/>
        <w:ind w:leftChars="0" w:left="0" w:firstLineChars="0" w:firstLine="0"/>
        <w:jc w:val="center"/>
        <w:rPr>
          <w:b/>
          <w:sz w:val="20"/>
          <w:szCs w:val="20"/>
        </w:rPr>
      </w:pPr>
    </w:p>
    <w:p w14:paraId="6D69AAAA" w14:textId="77777777" w:rsidR="00BC7382" w:rsidRPr="00527D76" w:rsidRDefault="00BC7382" w:rsidP="00911DF7">
      <w:pPr>
        <w:spacing w:line="240" w:lineRule="auto"/>
        <w:ind w:leftChars="0" w:left="0" w:firstLineChars="0" w:firstLine="0"/>
        <w:jc w:val="center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Pr="00527D7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Autores,</w:t>
      </w:r>
      <w:r w:rsidRPr="00527D76">
        <w:rPr>
          <w:color w:val="000000" w:themeColor="text1"/>
          <w:sz w:val="20"/>
          <w:szCs w:val="20"/>
        </w:rPr>
        <w:t xml:space="preserve"> (20</w:t>
      </w:r>
      <w:r>
        <w:rPr>
          <w:color w:val="000000" w:themeColor="text1"/>
          <w:sz w:val="20"/>
          <w:szCs w:val="20"/>
        </w:rPr>
        <w:t>24</w:t>
      </w:r>
      <w:r w:rsidRPr="00527D76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.</w:t>
      </w:r>
    </w:p>
    <w:p w14:paraId="641791D0" w14:textId="77777777" w:rsidR="00053AB7" w:rsidRDefault="00053AB7" w:rsidP="00BD3A13">
      <w:pPr>
        <w:spacing w:line="240" w:lineRule="auto"/>
        <w:ind w:leftChars="0" w:left="0" w:firstLineChars="0" w:firstLine="0"/>
        <w:jc w:val="both"/>
      </w:pPr>
    </w:p>
    <w:p w14:paraId="69B041E5" w14:textId="5492DB80" w:rsidR="00D25138" w:rsidRDefault="00D25138" w:rsidP="00BD3A13">
      <w:pPr>
        <w:spacing w:line="240" w:lineRule="auto"/>
        <w:ind w:leftChars="0" w:left="0" w:firstLineChars="0" w:firstLine="0"/>
        <w:jc w:val="both"/>
      </w:pPr>
      <w:bookmarkStart w:id="1" w:name="_Hlk171511479"/>
      <w:r w:rsidRPr="00C9091A">
        <w:t>O Porto de Santana</w:t>
      </w:r>
      <w:r w:rsidR="00191D3E">
        <w:t xml:space="preserve"> está </w:t>
      </w:r>
      <w:r w:rsidRPr="00C9091A">
        <w:t xml:space="preserve">localizado no </w:t>
      </w:r>
      <w:r w:rsidR="00191D3E">
        <w:t>Município de Santana, no E</w:t>
      </w:r>
      <w:r w:rsidRPr="00C9091A">
        <w:t xml:space="preserve">stado do Amapá, </w:t>
      </w:r>
      <w:r w:rsidR="00C70EF6">
        <w:t xml:space="preserve">de forma </w:t>
      </w:r>
      <w:r w:rsidRPr="00C9091A">
        <w:t>estratégic</w:t>
      </w:r>
      <w:r w:rsidR="00C70EF6">
        <w:t xml:space="preserve">a para </w:t>
      </w:r>
      <w:r w:rsidRPr="00C9091A">
        <w:t xml:space="preserve">o escoamento de produtos na região Norte do Brasil. Situado à margem direita do rio Amazonas, com entrada e acesso pela Barra Norte, </w:t>
      </w:r>
      <w:r>
        <w:t xml:space="preserve">se </w:t>
      </w:r>
      <w:r w:rsidRPr="00C9091A">
        <w:t>caracteri</w:t>
      </w:r>
      <w:r>
        <w:t xml:space="preserve">za </w:t>
      </w:r>
      <w:r w:rsidRPr="00C9091A">
        <w:t>por águas rasas, limitando o acesso de calado em 11,5 metros, oferecendo desafios para a navegação, pelo fato da geomorfologia do Rio Amazonas ser intensa</w:t>
      </w:r>
      <w:r>
        <w:t xml:space="preserve"> e seus afluentes</w:t>
      </w:r>
      <w:r w:rsidR="00C70EF6">
        <w:t xml:space="preserve"> acarretarem</w:t>
      </w:r>
      <w:r w:rsidRPr="00C9091A">
        <w:t xml:space="preserve"> fenômenos de erosão e sedimentação em virtude do intenso transporte de sedimentos. Além disso, a água do rio possui coloração uniforme e barrenta, o que impede a identificação de pontos de baixa </w:t>
      </w:r>
      <w:r w:rsidRPr="00C9091A">
        <w:lastRenderedPageBreak/>
        <w:t xml:space="preserve">profundidade, dificultando a navegação por essa modalidade, principalmente, para embarcações de grande calado. A profundidade operacional variável </w:t>
      </w:r>
      <w:r w:rsidR="00C70EF6">
        <w:t>em</w:t>
      </w:r>
      <w:r w:rsidRPr="00C9091A">
        <w:t xml:space="preserve"> 12 metros e as condições de correnteza tornam necessária a navegação cuidadosa e bem planejada, geralmente, auxiliada por rebocadores com profissionais </w:t>
      </w:r>
      <w:r w:rsidR="00C70EF6">
        <w:t>de</w:t>
      </w:r>
      <w:r w:rsidRPr="00C9091A">
        <w:t xml:space="preserve"> vasta experiência. Apesar de não haver homogeneidade, pode-se afirmar que a profundidade no canal de acesso ao Porto de Santana </w:t>
      </w:r>
      <w:r w:rsidR="00C70EF6">
        <w:t xml:space="preserve">está em torno </w:t>
      </w:r>
      <w:r w:rsidRPr="00C9091A">
        <w:t xml:space="preserve">de 30 metros (CDSA, 2017). </w:t>
      </w:r>
    </w:p>
    <w:p w14:paraId="1BF48764" w14:textId="77777777" w:rsidR="00D25138" w:rsidRDefault="00D25138" w:rsidP="00BD3A13">
      <w:pPr>
        <w:spacing w:line="240" w:lineRule="auto"/>
        <w:ind w:leftChars="0" w:left="0" w:firstLineChars="0" w:firstLine="0"/>
        <w:jc w:val="both"/>
      </w:pPr>
    </w:p>
    <w:p w14:paraId="3E37DB46" w14:textId="2DC8B283" w:rsidR="0079356B" w:rsidRPr="00C649C8" w:rsidRDefault="00D25138" w:rsidP="00BD3A13">
      <w:pPr>
        <w:spacing w:line="240" w:lineRule="auto"/>
        <w:ind w:leftChars="0" w:left="0" w:firstLineChars="0" w:firstLine="0"/>
        <w:jc w:val="both"/>
      </w:pPr>
      <w:r w:rsidRPr="00C9091A">
        <w:t>A estrutura física é composta por um cais equipado com guindastes e outros equipamentos de movimentação de cargas, além de armazéns e áreas para a estocagem de mercadorias, totalizando</w:t>
      </w:r>
      <w:r w:rsidR="00C70EF6">
        <w:t xml:space="preserve"> aproximadamente</w:t>
      </w:r>
      <w:r w:rsidRPr="00C9091A">
        <w:t xml:space="preserve"> 50 mil m² de área. Entre os principais serviços oferecidos, destacam-se o carregamento e descarregamento de navios, armazenagem de produtos agrícolas e minerais e a movimentação de contêineres. Contudo, o porto conta com uma zona de apoio logístico, que inclui pátios para caminhões e instalações para a manutenção de equipamentos. Adicionalmente, o porto encontra-se em crescimento, incorporando tecnologias para melhorar a eficiência e a segurança das operações. No aspecto da movimentação de carga, o porto tem capacidade de 2,4 </w:t>
      </w:r>
      <w:proofErr w:type="spellStart"/>
      <w:r w:rsidRPr="00C9091A">
        <w:t>ton</w:t>
      </w:r>
      <w:proofErr w:type="spellEnd"/>
      <w:r w:rsidRPr="00C9091A">
        <w:t xml:space="preserve">/ano, havendo capacidade ociosa desta demanda, </w:t>
      </w:r>
      <w:r w:rsidR="00C70EF6">
        <w:t>no que implica em</w:t>
      </w:r>
      <w:r w:rsidRPr="00C9091A">
        <w:t xml:space="preserve"> um potencial significativo para expansão das operações e aumento d</w:t>
      </w:r>
      <w:r w:rsidR="00C70EF6">
        <w:t>o volume de carga movimentada, o que pode</w:t>
      </w:r>
      <w:r w:rsidRPr="00C9091A">
        <w:t xml:space="preserve"> contribui</w:t>
      </w:r>
      <w:r w:rsidR="00C70EF6">
        <w:t>r</w:t>
      </w:r>
      <w:r w:rsidRPr="00C9091A">
        <w:t xml:space="preserve"> significativamente para a redução de custos logísticos e o aumento da competitivid</w:t>
      </w:r>
      <w:r w:rsidR="00C70EF6">
        <w:t>ade das exportações brasileiras.</w:t>
      </w:r>
    </w:p>
    <w:bookmarkEnd w:id="1"/>
    <w:p w14:paraId="47BA33B4" w14:textId="5D68DFB3" w:rsidR="0079356B" w:rsidRDefault="0079356B" w:rsidP="00BD3A13">
      <w:pPr>
        <w:spacing w:line="240" w:lineRule="auto"/>
        <w:ind w:leftChars="0" w:left="0" w:firstLineChars="0" w:firstLine="0"/>
        <w:jc w:val="both"/>
      </w:pPr>
    </w:p>
    <w:p w14:paraId="548612DB" w14:textId="39281A20" w:rsidR="00B16955" w:rsidRDefault="0020230B" w:rsidP="00BD3A13">
      <w:pPr>
        <w:spacing w:line="240" w:lineRule="auto"/>
        <w:ind w:leftChars="0" w:left="0" w:firstLineChars="0" w:firstLine="0"/>
        <w:jc w:val="both"/>
        <w:rPr>
          <w:b/>
        </w:rPr>
      </w:pPr>
      <w:r w:rsidRPr="00053AB7">
        <w:rPr>
          <w:b/>
        </w:rPr>
        <w:t>3 METODOLOGIA</w:t>
      </w:r>
      <w:r w:rsidR="000D5D4F">
        <w:rPr>
          <w:b/>
        </w:rPr>
        <w:t xml:space="preserve"> E APLICAÇÃO</w:t>
      </w:r>
    </w:p>
    <w:p w14:paraId="2173D96C" w14:textId="7468B89B" w:rsidR="00497236" w:rsidRDefault="00497236" w:rsidP="00BD3A13">
      <w:pPr>
        <w:keepNext/>
        <w:keepLines/>
        <w:spacing w:line="240" w:lineRule="auto"/>
        <w:ind w:leftChars="0" w:left="0" w:firstLineChars="0" w:firstLine="0"/>
        <w:jc w:val="both"/>
      </w:pPr>
    </w:p>
    <w:p w14:paraId="169D5BE9" w14:textId="3FC21A09" w:rsidR="00FC7944" w:rsidRPr="00185013" w:rsidRDefault="00A871B0" w:rsidP="00BD3A13">
      <w:pPr>
        <w:keepNext/>
        <w:keepLines/>
        <w:spacing w:line="240" w:lineRule="auto"/>
        <w:ind w:leftChars="0" w:left="0" w:firstLineChars="0" w:firstLine="0"/>
        <w:jc w:val="both"/>
        <w:rPr>
          <w:sz w:val="20"/>
          <w:szCs w:val="20"/>
        </w:rPr>
      </w:pPr>
      <w:r>
        <w:rPr>
          <w:rStyle w:val="fontstyle01"/>
          <w:rFonts w:ascii="Times New Roman" w:hAnsi="Times New Roman"/>
          <w:color w:val="auto"/>
        </w:rPr>
        <w:t xml:space="preserve">O estudo </w:t>
      </w:r>
      <w:r w:rsidR="006B01A2">
        <w:rPr>
          <w:rStyle w:val="fontstyle01"/>
          <w:rFonts w:ascii="Times New Roman" w:hAnsi="Times New Roman"/>
          <w:color w:val="auto"/>
        </w:rPr>
        <w:t>com o método AHP é</w:t>
      </w:r>
      <w:r w:rsidR="00FC7944">
        <w:rPr>
          <w:rStyle w:val="fontstyle01"/>
          <w:rFonts w:ascii="Times New Roman" w:hAnsi="Times New Roman"/>
          <w:color w:val="auto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realizado</w:t>
      </w:r>
      <w:r w:rsidR="006B01A2">
        <w:rPr>
          <w:rStyle w:val="fontstyle01"/>
          <w:rFonts w:ascii="Times New Roman" w:hAnsi="Times New Roman"/>
          <w:color w:val="auto"/>
        </w:rPr>
        <w:t xml:space="preserve"> basicamente</w:t>
      </w:r>
      <w:r>
        <w:rPr>
          <w:rStyle w:val="fontstyle01"/>
          <w:rFonts w:ascii="Times New Roman" w:hAnsi="Times New Roman"/>
          <w:color w:val="auto"/>
        </w:rPr>
        <w:t xml:space="preserve"> em quatro etapas</w:t>
      </w:r>
      <w:r>
        <w:t>: (i) a identificação dos critérios de desempenho do porto na percepção dos</w:t>
      </w:r>
      <w:r w:rsidRPr="00053AB7">
        <w:rPr>
          <w:i/>
        </w:rPr>
        <w:t xml:space="preserve"> </w:t>
      </w:r>
      <w:r w:rsidR="009225DF" w:rsidRPr="00053AB7">
        <w:rPr>
          <w:i/>
        </w:rPr>
        <w:t>s</w:t>
      </w:r>
      <w:r w:rsidRPr="00053AB7">
        <w:rPr>
          <w:i/>
        </w:rPr>
        <w:t>takeholders</w:t>
      </w:r>
      <w:r>
        <w:t xml:space="preserve"> </w:t>
      </w:r>
      <w:r w:rsidR="00FF1CC1">
        <w:t>internos</w:t>
      </w:r>
      <w:r>
        <w:t>, (</w:t>
      </w:r>
      <w:proofErr w:type="spellStart"/>
      <w:r>
        <w:t>ii</w:t>
      </w:r>
      <w:proofErr w:type="spellEnd"/>
      <w:r>
        <w:t>) a elaboração de instrumento de coleta</w:t>
      </w:r>
      <w:r w:rsidR="006B01A2">
        <w:t xml:space="preserve"> de dados</w:t>
      </w:r>
      <w:r>
        <w:t>, (</w:t>
      </w:r>
      <w:proofErr w:type="spellStart"/>
      <w:r>
        <w:t>iii</w:t>
      </w:r>
      <w:proofErr w:type="spellEnd"/>
      <w:r>
        <w:t>) o levantamento das percepções de prioridades dos critérios e</w:t>
      </w:r>
      <w:r w:rsidR="00FC7944">
        <w:t>,</w:t>
      </w:r>
      <w:r>
        <w:t xml:space="preserve"> (</w:t>
      </w:r>
      <w:proofErr w:type="spellStart"/>
      <w:r>
        <w:t>iv</w:t>
      </w:r>
      <w:proofErr w:type="spellEnd"/>
      <w:r>
        <w:t xml:space="preserve">) </w:t>
      </w:r>
      <w:r w:rsidR="006B01A2">
        <w:t>a ponderação</w:t>
      </w:r>
      <w:r>
        <w:t xml:space="preserve"> dos critérios</w:t>
      </w:r>
      <w:r w:rsidR="00185013">
        <w:t xml:space="preserve"> (Figura 2)</w:t>
      </w:r>
      <w:r w:rsidR="008C34FD">
        <w:t>.</w:t>
      </w:r>
      <w:r w:rsidR="00545751">
        <w:t xml:space="preserve"> Ressalta-se que, p</w:t>
      </w:r>
      <w:r w:rsidR="00C33BCF">
        <w:t xml:space="preserve">ara </w:t>
      </w:r>
      <w:r w:rsidR="00FC7944">
        <w:t>atender questões éticas</w:t>
      </w:r>
      <w:r w:rsidR="00C33BCF">
        <w:t xml:space="preserve"> no processo, os respondentes </w:t>
      </w:r>
      <w:r w:rsidR="00FC7944">
        <w:t xml:space="preserve">são </w:t>
      </w:r>
      <w:r w:rsidR="00545751">
        <w:t>esclarecidos</w:t>
      </w:r>
      <w:r w:rsidR="00C33BCF">
        <w:t xml:space="preserve"> </w:t>
      </w:r>
      <w:r w:rsidR="00A84231">
        <w:t xml:space="preserve">desde o primeiro contato </w:t>
      </w:r>
      <w:r w:rsidR="00C33BCF">
        <w:t xml:space="preserve">sobre a </w:t>
      </w:r>
      <w:r w:rsidR="00545751">
        <w:t>R</w:t>
      </w:r>
      <w:r w:rsidR="00C33BCF">
        <w:t xml:space="preserve">esolução 196/96 que trata </w:t>
      </w:r>
      <w:r w:rsidR="00FC7944">
        <w:t>de procedimentos éticos n</w:t>
      </w:r>
      <w:r w:rsidR="00C33BCF">
        <w:t>o envolvimento de</w:t>
      </w:r>
      <w:r w:rsidR="006B01A2">
        <w:t xml:space="preserve"> </w:t>
      </w:r>
      <w:r w:rsidR="00C33BCF">
        <w:t>pesquisa</w:t>
      </w:r>
      <w:r w:rsidR="006B01A2">
        <w:t xml:space="preserve"> com seres humanos </w:t>
      </w:r>
      <w:r w:rsidR="00C33BCF">
        <w:t xml:space="preserve">e a Lei Geral </w:t>
      </w:r>
      <w:r w:rsidR="00FC7944">
        <w:t>de Proteção de Dados - LGPD, 13.709/18</w:t>
      </w:r>
      <w:r w:rsidR="00A84231">
        <w:t xml:space="preserve">, </w:t>
      </w:r>
      <w:r w:rsidR="006B01A2">
        <w:t>devendo ser</w:t>
      </w:r>
      <w:r w:rsidR="00A84231">
        <w:t xml:space="preserve"> assinados os respectivos Termos de Consentimento Livre e Esclarecido – TCLE.</w:t>
      </w:r>
    </w:p>
    <w:p w14:paraId="1BC99807" w14:textId="77777777" w:rsidR="00185013" w:rsidRDefault="00185013" w:rsidP="00AD533E">
      <w:pPr>
        <w:keepNext/>
        <w:keepLines/>
        <w:spacing w:line="240" w:lineRule="auto"/>
        <w:ind w:leftChars="0" w:left="0" w:firstLineChars="0" w:firstLine="0"/>
        <w:jc w:val="both"/>
        <w:rPr>
          <w:b/>
          <w:sz w:val="20"/>
          <w:szCs w:val="20"/>
        </w:rPr>
      </w:pPr>
    </w:p>
    <w:p w14:paraId="50D52CD5" w14:textId="1D25D35A" w:rsidR="002823E8" w:rsidRDefault="00185013" w:rsidP="00BD3A13">
      <w:pPr>
        <w:spacing w:line="240" w:lineRule="auto"/>
        <w:ind w:leftChars="0" w:left="0" w:firstLineChars="0" w:firstLine="0"/>
        <w:jc w:val="center"/>
        <w:rPr>
          <w:sz w:val="20"/>
          <w:szCs w:val="20"/>
        </w:rPr>
      </w:pPr>
      <w:r w:rsidRPr="00185013">
        <w:rPr>
          <w:b/>
          <w:sz w:val="20"/>
          <w:szCs w:val="20"/>
        </w:rPr>
        <w:t xml:space="preserve">Figura 2. </w:t>
      </w:r>
      <w:r w:rsidRPr="00185013">
        <w:rPr>
          <w:sz w:val="20"/>
          <w:szCs w:val="20"/>
        </w:rPr>
        <w:t>Etapas da pesquisa</w:t>
      </w:r>
    </w:p>
    <w:p w14:paraId="4F29F3B8" w14:textId="77777777" w:rsidR="002823E8" w:rsidRDefault="002823E8" w:rsidP="00BD3A13">
      <w:pPr>
        <w:spacing w:line="240" w:lineRule="auto"/>
        <w:ind w:leftChars="0" w:left="0" w:firstLineChars="0" w:firstLine="0"/>
        <w:jc w:val="center"/>
        <w:rPr>
          <w:sz w:val="20"/>
          <w:szCs w:val="20"/>
        </w:rPr>
      </w:pPr>
    </w:p>
    <w:p w14:paraId="7C997B5B" w14:textId="77777777" w:rsidR="002823E8" w:rsidRDefault="00185013" w:rsidP="00BD3A13">
      <w:pPr>
        <w:spacing w:line="240" w:lineRule="auto"/>
        <w:ind w:leftChars="0" w:left="0" w:firstLineChars="0" w:firstLine="0"/>
        <w:jc w:val="center"/>
        <w:rPr>
          <w:b/>
          <w:sz w:val="20"/>
          <w:szCs w:val="20"/>
        </w:rPr>
      </w:pPr>
      <w:r w:rsidRPr="00185013">
        <w:rPr>
          <w:noProof/>
          <w:sz w:val="20"/>
          <w:szCs w:val="20"/>
        </w:rPr>
        <w:drawing>
          <wp:inline distT="0" distB="0" distL="0" distR="0" wp14:anchorId="5E5A7186" wp14:editId="6D8AC14F">
            <wp:extent cx="3808675" cy="2849756"/>
            <wp:effectExtent l="0" t="0" r="190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603" cy="28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DCE6" w14:textId="77777777" w:rsidR="00BC7382" w:rsidRPr="00527D76" w:rsidRDefault="00BC7382" w:rsidP="00911DF7">
      <w:pPr>
        <w:spacing w:line="240" w:lineRule="auto"/>
        <w:ind w:leftChars="0" w:left="0" w:firstLineChars="0" w:firstLine="0"/>
        <w:jc w:val="center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Pr="00527D7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Autores,</w:t>
      </w:r>
      <w:r w:rsidRPr="00527D76">
        <w:rPr>
          <w:color w:val="000000" w:themeColor="text1"/>
          <w:sz w:val="20"/>
          <w:szCs w:val="20"/>
        </w:rPr>
        <w:t xml:space="preserve"> (20</w:t>
      </w:r>
      <w:r>
        <w:rPr>
          <w:color w:val="000000" w:themeColor="text1"/>
          <w:sz w:val="20"/>
          <w:szCs w:val="20"/>
        </w:rPr>
        <w:t>24</w:t>
      </w:r>
      <w:r w:rsidRPr="00527D76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.</w:t>
      </w:r>
    </w:p>
    <w:p w14:paraId="68A4EFB1" w14:textId="29E20914" w:rsidR="000D5D4F" w:rsidRPr="004E7ECB" w:rsidRDefault="00BA285B" w:rsidP="00CC7C74">
      <w:pPr>
        <w:spacing w:line="240" w:lineRule="auto"/>
        <w:ind w:leftChars="0" w:left="0" w:firstLineChars="0" w:firstLine="0"/>
        <w:jc w:val="both"/>
      </w:pPr>
      <w:r>
        <w:lastRenderedPageBreak/>
        <w:t>A primeira etapa</w:t>
      </w:r>
      <w:r w:rsidR="00C33BCF">
        <w:t xml:space="preserve"> </w:t>
      </w:r>
      <w:r w:rsidR="00FC7944">
        <w:t>consist</w:t>
      </w:r>
      <w:r w:rsidR="00CC7C74">
        <w:t>e</w:t>
      </w:r>
      <w:r w:rsidR="00FC7944">
        <w:t xml:space="preserve"> </w:t>
      </w:r>
      <w:r>
        <w:t>na i</w:t>
      </w:r>
      <w:r w:rsidR="00316D57">
        <w:t>dentificação dos critérios de desempenho</w:t>
      </w:r>
      <w:r w:rsidR="00CC7C74">
        <w:t xml:space="preserve">, na visão dos agentes envolvidos no caso. </w:t>
      </w:r>
      <w:r w:rsidR="00CC7C74" w:rsidRPr="009733A0">
        <w:t xml:space="preserve">Na segunda etapa, as informações obtidas </w:t>
      </w:r>
      <w:r w:rsidR="00CC7C74">
        <w:t>são</w:t>
      </w:r>
      <w:r w:rsidR="00CC7C74" w:rsidRPr="009733A0">
        <w:t xml:space="preserve"> sistematizadas e utilizadas para elaborar</w:t>
      </w:r>
      <w:r w:rsidR="00CC7C74">
        <w:t xml:space="preserve"> o instrumento de coleta de dados, um</w:t>
      </w:r>
      <w:r w:rsidR="00CC7C74" w:rsidRPr="009733A0">
        <w:t xml:space="preserve"> questionário </w:t>
      </w:r>
      <w:r w:rsidR="00CC7C74">
        <w:t xml:space="preserve">ou formulário, para a </w:t>
      </w:r>
      <w:r w:rsidR="006B01A2">
        <w:t xml:space="preserve">obtenção </w:t>
      </w:r>
      <w:r w:rsidR="00CC7C74">
        <w:t xml:space="preserve">das percepções dos agentes sobre as prioridades </w:t>
      </w:r>
      <w:r w:rsidR="006B01A2">
        <w:t>d</w:t>
      </w:r>
      <w:r w:rsidR="00CC7C74">
        <w:t xml:space="preserve">os critérios de desempenho. </w:t>
      </w:r>
      <w:r w:rsidR="00184569">
        <w:t>A</w:t>
      </w:r>
      <w:r w:rsidR="00CC7C74">
        <w:t xml:space="preserve"> validação</w:t>
      </w:r>
      <w:r w:rsidR="00184569">
        <w:t xml:space="preserve"> dos critérios ocorre com a reapresentação dos </w:t>
      </w:r>
      <w:r w:rsidR="00184569" w:rsidRPr="004E7ECB">
        <w:rPr>
          <w:i/>
        </w:rPr>
        <w:t xml:space="preserve">stakeholders </w:t>
      </w:r>
      <w:r w:rsidR="00184569">
        <w:t>envolvidos na etapa inicial</w:t>
      </w:r>
      <w:r w:rsidR="00CC7C74">
        <w:t>,</w:t>
      </w:r>
      <w:r w:rsidR="00CC7C74" w:rsidRPr="009733A0">
        <w:t xml:space="preserve"> </w:t>
      </w:r>
      <w:r w:rsidR="00184569">
        <w:t>n</w:t>
      </w:r>
      <w:r w:rsidR="00CC7C74">
        <w:t xml:space="preserve">o sentido de </w:t>
      </w:r>
      <w:r w:rsidR="00CC7C74" w:rsidRPr="009733A0">
        <w:t>garantir que os itens incluídos est</w:t>
      </w:r>
      <w:r w:rsidR="00CC7C74">
        <w:t>ejam</w:t>
      </w:r>
      <w:r w:rsidR="00CC7C74" w:rsidRPr="009733A0">
        <w:t xml:space="preserve"> alinhados com os objetivos </w:t>
      </w:r>
      <w:r w:rsidR="00CC7C74">
        <w:t xml:space="preserve">da pesquisa. Na terceira etapa, o instrumento é aplicado, </w:t>
      </w:r>
      <w:r w:rsidR="00184569">
        <w:t xml:space="preserve">através de </w:t>
      </w:r>
      <w:r w:rsidR="00CC7C74">
        <w:t>comparações paritárias, permitindo uma análise detalhada das importâncias e urgências atribuídas a cada critério, facilitando a identificação das prioridades estratégicas para o caso em questão. Na quarta etapa, a partir das definições</w:t>
      </w:r>
      <w:r w:rsidR="004E7ECB">
        <w:t xml:space="preserve"> das etapas</w:t>
      </w:r>
      <w:r w:rsidR="00CC7C74">
        <w:t xml:space="preserve"> anteriores, conclui-se com </w:t>
      </w:r>
      <w:r w:rsidR="004E7ECB">
        <w:t>a ponderação dos critérios</w:t>
      </w:r>
      <w:r w:rsidR="00CC7C74">
        <w:t xml:space="preserve"> </w:t>
      </w:r>
      <w:r w:rsidR="004E7ECB">
        <w:t xml:space="preserve">de acordo com método </w:t>
      </w:r>
      <w:r w:rsidR="00CC7C74">
        <w:t xml:space="preserve">AHP (Saaty, 1991). Definidos os critérios e respectivos pesos, </w:t>
      </w:r>
      <w:r w:rsidR="00CC7C74" w:rsidRPr="00185013">
        <w:t xml:space="preserve">a matriz de escolha </w:t>
      </w:r>
      <w:r w:rsidR="00CC7C74">
        <w:t>é</w:t>
      </w:r>
      <w:r w:rsidR="00CC7C74" w:rsidRPr="00185013">
        <w:t xml:space="preserve"> lançada no </w:t>
      </w:r>
      <w:r w:rsidR="00CC7C74" w:rsidRPr="00185013">
        <w:rPr>
          <w:i/>
        </w:rPr>
        <w:t>software Superdecisions</w:t>
      </w:r>
      <w:r w:rsidR="00CC7C74" w:rsidRPr="00185013">
        <w:t xml:space="preserve">, programa de licença livre criado a partir </w:t>
      </w:r>
      <w:r w:rsidR="00CC7C74" w:rsidRPr="004E7ECB">
        <w:t xml:space="preserve">do método AHP. </w:t>
      </w:r>
    </w:p>
    <w:p w14:paraId="4146D47C" w14:textId="29EE3E9D" w:rsidR="000D5D4F" w:rsidRDefault="000D5D4F" w:rsidP="00CC7C74">
      <w:pP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276F583C" w14:textId="549A9AA2" w:rsidR="000D5D4F" w:rsidRPr="004E7ECB" w:rsidRDefault="00433ED4" w:rsidP="00CC7C74">
      <w:pPr>
        <w:spacing w:line="240" w:lineRule="auto"/>
        <w:ind w:leftChars="0" w:left="0" w:firstLineChars="0" w:firstLine="0"/>
        <w:jc w:val="both"/>
      </w:pPr>
      <w:r>
        <w:t>3</w:t>
      </w:r>
      <w:r w:rsidR="000D5D4F" w:rsidRPr="004E7ECB">
        <w:t>.1. O método AHP</w:t>
      </w:r>
    </w:p>
    <w:p w14:paraId="496FAD36" w14:textId="77777777" w:rsidR="000D5D4F" w:rsidRDefault="000D5D4F" w:rsidP="00CC7C74">
      <w:pPr>
        <w:spacing w:line="240" w:lineRule="auto"/>
        <w:ind w:leftChars="0" w:left="0" w:firstLineChars="0" w:firstLine="0"/>
        <w:jc w:val="both"/>
        <w:rPr>
          <w:highlight w:val="yellow"/>
        </w:rPr>
      </w:pPr>
    </w:p>
    <w:p w14:paraId="627F1F53" w14:textId="6984EEEA" w:rsidR="00CC7C74" w:rsidRDefault="00CC7C74" w:rsidP="00CC7C74">
      <w:pPr>
        <w:spacing w:line="240" w:lineRule="auto"/>
        <w:ind w:leftChars="0" w:left="0" w:firstLineChars="0" w:firstLine="0"/>
        <w:jc w:val="both"/>
      </w:pPr>
      <w:r w:rsidRPr="004E7ECB">
        <w:t>O método AHP</w:t>
      </w:r>
      <w:r w:rsidRPr="00A243B9">
        <w:t xml:space="preserve"> transforma avaliações em uma escala de valores numéricos, permitindo ao tomador de decisão expressar preferências e atribuir pesos; proporcionando um processo estruturado para resolver </w:t>
      </w:r>
      <w:r>
        <w:t xml:space="preserve">tomadas de decisão em </w:t>
      </w:r>
      <w:r w:rsidRPr="00A243B9">
        <w:t>problemas complexos,</w:t>
      </w:r>
      <w:r>
        <w:t xml:space="preserve"> considerando</w:t>
      </w:r>
      <w:r w:rsidRPr="00A243B9">
        <w:t xml:space="preserve"> tanto </w:t>
      </w:r>
      <w:r>
        <w:t xml:space="preserve">critérios </w:t>
      </w:r>
      <w:r w:rsidRPr="00A243B9">
        <w:t xml:space="preserve">quantitativos quanto </w:t>
      </w:r>
      <w:r>
        <w:t xml:space="preserve">critérios </w:t>
      </w:r>
      <w:r w:rsidRPr="00A243B9">
        <w:t>qualitativos</w:t>
      </w:r>
      <w:r>
        <w:t xml:space="preserve"> na respe</w:t>
      </w:r>
      <w:r w:rsidR="004E7ECB">
        <w:t>c</w:t>
      </w:r>
      <w:r>
        <w:t>tiva tomada de decisão</w:t>
      </w:r>
      <w:r w:rsidRPr="00A243B9">
        <w:t xml:space="preserve">. </w:t>
      </w:r>
      <w:r w:rsidR="000D5D4F">
        <w:t xml:space="preserve">Após a </w:t>
      </w:r>
      <w:r w:rsidR="000D5D4F" w:rsidRPr="00A243B9">
        <w:t>constru</w:t>
      </w:r>
      <w:r w:rsidR="000D5D4F">
        <w:t>ção</w:t>
      </w:r>
      <w:r w:rsidR="000D5D4F" w:rsidRPr="00A243B9">
        <w:t xml:space="preserve"> </w:t>
      </w:r>
      <w:r w:rsidR="000D5D4F">
        <w:t>d</w:t>
      </w:r>
      <w:r w:rsidR="000D5D4F" w:rsidRPr="00A243B9">
        <w:t>a estrutura</w:t>
      </w:r>
      <w:r w:rsidR="000D5D4F">
        <w:t xml:space="preserve"> de critérios que influenciam a tomada de decisão</w:t>
      </w:r>
      <w:r w:rsidR="000D5D4F" w:rsidRPr="00A243B9">
        <w:t xml:space="preserve">, os </w:t>
      </w:r>
      <w:r w:rsidR="000D5D4F">
        <w:t>critérios (ou subcritérios)</w:t>
      </w:r>
      <w:r w:rsidR="000D5D4F" w:rsidRPr="00A243B9">
        <w:t xml:space="preserve"> são avaliados sistematicamente, comparando-se </w:t>
      </w:r>
      <w:r w:rsidR="004E7ECB">
        <w:t>paritariamente</w:t>
      </w:r>
      <w:r w:rsidR="000D5D4F" w:rsidRPr="00A243B9">
        <w:t xml:space="preserve">. </w:t>
      </w:r>
      <w:r w:rsidR="000D5D4F">
        <w:t>Esta comparação paritária</w:t>
      </w:r>
      <w:r w:rsidR="000D5D4F" w:rsidRPr="00A243B9">
        <w:t xml:space="preserve"> simplifica o processo </w:t>
      </w:r>
      <w:r w:rsidR="000D5D4F">
        <w:t>de avaliação relativa de cada critério</w:t>
      </w:r>
      <w:r w:rsidR="000D5D4F" w:rsidRPr="00A243B9">
        <w:t xml:space="preserve">, permitindo uma comparação racional e consistente entre </w:t>
      </w:r>
      <w:r w:rsidR="000D5D4F">
        <w:t xml:space="preserve">os </w:t>
      </w:r>
      <w:r w:rsidR="000D5D4F" w:rsidRPr="00A243B9">
        <w:t xml:space="preserve">diferentes </w:t>
      </w:r>
      <w:r w:rsidR="000D5D4F">
        <w:t>critérios que contribuem para a tomada de decisão</w:t>
      </w:r>
      <w:r w:rsidR="000D5D4F" w:rsidRPr="00A243B9">
        <w:t xml:space="preserve">. </w:t>
      </w:r>
    </w:p>
    <w:p w14:paraId="130B3DC3" w14:textId="41E1A917" w:rsidR="00CC7C74" w:rsidRDefault="00CC7C74" w:rsidP="00CC7C74">
      <w:pPr>
        <w:spacing w:line="240" w:lineRule="auto"/>
        <w:ind w:leftChars="0" w:left="0" w:firstLineChars="0" w:firstLine="0"/>
        <w:jc w:val="both"/>
      </w:pPr>
    </w:p>
    <w:p w14:paraId="0895327A" w14:textId="6ACA65C3" w:rsidR="00D64864" w:rsidRDefault="00A06676" w:rsidP="00D64864">
      <w:pPr>
        <w:spacing w:line="240" w:lineRule="auto"/>
        <w:ind w:leftChars="0" w:left="0" w:firstLineChars="0" w:firstLine="0"/>
        <w:jc w:val="both"/>
      </w:pPr>
      <w:r w:rsidRPr="00D64864">
        <w:t xml:space="preserve">Na escala recomendada por Saaty (1991), mostrada na Tabela 1, atribui-se a intensidade de importância de 1 a 9, com 1 significando a igual de importância de um critério em relação ao outro, e 9 significando a importância extrema de um critério sobre outro, com estágios intermediários de importância entre esses níveis 1 e 9. </w:t>
      </w:r>
      <w:r w:rsidR="00D64864">
        <w:t>Na aplicação do m</w:t>
      </w:r>
      <w:r w:rsidR="00D64864" w:rsidRPr="007E62E3">
        <w:t xml:space="preserve">étodo AHP, cada critério de avaliação recebe um valor de peso padronizado, de acordo com </w:t>
      </w:r>
      <w:r w:rsidR="00D64864" w:rsidRPr="002823E8">
        <w:t xml:space="preserve">as comparações de pares realizadas pelo tomador de decisão. </w:t>
      </w:r>
    </w:p>
    <w:p w14:paraId="3F49D9F4" w14:textId="77777777" w:rsidR="00D64864" w:rsidRDefault="00D64864" w:rsidP="00D64864">
      <w:pPr>
        <w:spacing w:line="240" w:lineRule="auto"/>
        <w:ind w:leftChars="0" w:left="0" w:firstLineChars="0" w:firstLine="0"/>
        <w:jc w:val="both"/>
      </w:pPr>
    </w:p>
    <w:p w14:paraId="15DFA68B" w14:textId="77777777" w:rsidR="00D64864" w:rsidRPr="00EB383C" w:rsidRDefault="00D64864" w:rsidP="00D64864">
      <w:pPr>
        <w:pStyle w:val="Legenda"/>
        <w:spacing w:before="0" w:line="360" w:lineRule="auto"/>
        <w:rPr>
          <w:color w:val="000000" w:themeColor="text1"/>
          <w:sz w:val="20"/>
        </w:rPr>
      </w:pPr>
      <w:r w:rsidRPr="00EB383C">
        <w:rPr>
          <w:b/>
          <w:color w:val="000000" w:themeColor="text1"/>
          <w:sz w:val="20"/>
        </w:rPr>
        <w:t xml:space="preserve">Tabela </w:t>
      </w:r>
      <w:r>
        <w:rPr>
          <w:b/>
          <w:color w:val="000000" w:themeColor="text1"/>
          <w:sz w:val="20"/>
        </w:rPr>
        <w:t>1</w:t>
      </w:r>
      <w:r w:rsidRPr="00EB383C">
        <w:rPr>
          <w:color w:val="000000" w:themeColor="text1"/>
          <w:sz w:val="20"/>
          <w:lang w:eastAsia="pt-BR"/>
        </w:rPr>
        <w:t xml:space="preserve"> </w:t>
      </w:r>
      <w:r>
        <w:rPr>
          <w:color w:val="000000" w:themeColor="text1"/>
          <w:sz w:val="20"/>
          <w:lang w:eastAsia="pt-BR"/>
        </w:rPr>
        <w:t>–</w:t>
      </w:r>
      <w:r w:rsidRPr="00EB383C">
        <w:rPr>
          <w:color w:val="000000" w:themeColor="text1"/>
          <w:sz w:val="20"/>
          <w:lang w:eastAsia="pt-BR"/>
        </w:rPr>
        <w:t xml:space="preserve"> </w:t>
      </w:r>
      <w:r w:rsidRPr="00EB383C">
        <w:rPr>
          <w:color w:val="000000" w:themeColor="text1"/>
          <w:sz w:val="20"/>
          <w:shd w:val="clear" w:color="auto" w:fill="FFFFFF"/>
        </w:rPr>
        <w:t>Escala numérica para comparação dos indicadores de acordo com o método AHP</w:t>
      </w:r>
    </w:p>
    <w:tbl>
      <w:tblPr>
        <w:tblStyle w:val="TableNormal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434"/>
        <w:gridCol w:w="2295"/>
        <w:gridCol w:w="5164"/>
      </w:tblGrid>
      <w:tr w:rsidR="00D64864" w:rsidRPr="00EB383C" w14:paraId="68758164" w14:textId="77777777" w:rsidTr="00296777">
        <w:trPr>
          <w:trHeight w:val="542"/>
          <w:jc w:val="center"/>
        </w:trPr>
        <w:tc>
          <w:tcPr>
            <w:tcW w:w="14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EAE1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Intensidade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da Importância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7F0D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Definição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1DC9DF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Descrição</w:t>
            </w:r>
          </w:p>
        </w:tc>
      </w:tr>
      <w:tr w:rsidR="00D64864" w:rsidRPr="00FC17AF" w14:paraId="2522DE10" w14:textId="77777777" w:rsidTr="00296777">
        <w:trPr>
          <w:trHeight w:val="445"/>
          <w:jc w:val="center"/>
        </w:trPr>
        <w:tc>
          <w:tcPr>
            <w:tcW w:w="14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E5EF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D392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Igual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importância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66866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Ambos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elementos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contribuem igualmente</w:t>
            </w:r>
          </w:p>
          <w:p w14:paraId="207FDB29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objetivo</w:t>
            </w:r>
          </w:p>
        </w:tc>
      </w:tr>
      <w:tr w:rsidR="00D64864" w:rsidRPr="00EB383C" w14:paraId="7FED55E3" w14:textId="77777777" w:rsidTr="00296777">
        <w:trPr>
          <w:trHeight w:val="304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72EA4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EF7F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Fraca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48B2A" w14:textId="2BCE75D4" w:rsidR="00D64864" w:rsidRPr="004E7ECB" w:rsidRDefault="004E7ECB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Estágio intermediário entre 1 e 3</w:t>
            </w:r>
          </w:p>
        </w:tc>
      </w:tr>
      <w:tr w:rsidR="00D64864" w:rsidRPr="00FC17AF" w14:paraId="571E4A4D" w14:textId="77777777" w:rsidTr="00296777">
        <w:trPr>
          <w:trHeight w:val="430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E682C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3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358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Importância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moderada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734E7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Experiência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julgamento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favorecem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levemente</w:t>
            </w:r>
          </w:p>
          <w:p w14:paraId="565542A8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atividade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sobre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outra</w:t>
            </w:r>
          </w:p>
        </w:tc>
      </w:tr>
      <w:tr w:rsidR="00D64864" w:rsidRPr="00EB383C" w14:paraId="037EA0C7" w14:textId="77777777" w:rsidTr="00296777">
        <w:trPr>
          <w:trHeight w:val="404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140D3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4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277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Mais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que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moderada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57177" w14:textId="77D48072" w:rsidR="00D64864" w:rsidRPr="004E7ECB" w:rsidRDefault="004E7ECB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Estágio intermediário entre 3 e 5</w:t>
            </w:r>
          </w:p>
        </w:tc>
      </w:tr>
      <w:tr w:rsidR="00D64864" w:rsidRPr="00FC17AF" w14:paraId="72271426" w14:textId="77777777" w:rsidTr="00296777">
        <w:trPr>
          <w:trHeight w:val="446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92A73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5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4914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Importância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forte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67329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Experiência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julgamento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favorecem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fortemente</w:t>
            </w:r>
          </w:p>
          <w:p w14:paraId="0C7CBF25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atividade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sobre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outra</w:t>
            </w:r>
          </w:p>
        </w:tc>
      </w:tr>
      <w:tr w:rsidR="00D64864" w:rsidRPr="00EB383C" w14:paraId="7A431D24" w14:textId="77777777" w:rsidTr="00296777">
        <w:trPr>
          <w:trHeight w:val="239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7331C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6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66E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Mais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que forte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658B5" w14:textId="2C640B51" w:rsidR="00D64864" w:rsidRPr="004E7ECB" w:rsidRDefault="004E7ECB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Estágio intermediário entre 5 e 7</w:t>
            </w:r>
          </w:p>
        </w:tc>
      </w:tr>
      <w:tr w:rsidR="00D64864" w:rsidRPr="00FC17AF" w14:paraId="0BEF8915" w14:textId="77777777" w:rsidTr="00296777">
        <w:trPr>
          <w:trHeight w:val="530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50A2B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7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B857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Importância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muito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forte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3953C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atividade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favorecida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fortemente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sobre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14:paraId="3790E669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outra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dominância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demonstrada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prática</w:t>
            </w:r>
          </w:p>
        </w:tc>
      </w:tr>
      <w:tr w:rsidR="00D64864" w:rsidRPr="00EB383C" w14:paraId="3B849221" w14:textId="77777777" w:rsidTr="00296777">
        <w:trPr>
          <w:trHeight w:val="325"/>
          <w:jc w:val="center"/>
        </w:trPr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CFDF8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8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16D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Muito,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muito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forte</w:t>
            </w:r>
          </w:p>
        </w:tc>
        <w:tc>
          <w:tcPr>
            <w:tcW w:w="5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5D6BD" w14:textId="608BAD51" w:rsidR="00D64864" w:rsidRPr="004E7ECB" w:rsidRDefault="004E7ECB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Estágio intermediário entre 7 e 9</w:t>
            </w:r>
          </w:p>
        </w:tc>
      </w:tr>
      <w:tr w:rsidR="00D64864" w:rsidRPr="00EB383C" w14:paraId="10258D81" w14:textId="77777777" w:rsidTr="00296777">
        <w:trPr>
          <w:trHeight w:val="574"/>
          <w:jc w:val="center"/>
        </w:trPr>
        <w:tc>
          <w:tcPr>
            <w:tcW w:w="14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02D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w w:val="99"/>
                <w:sz w:val="20"/>
              </w:rPr>
              <w:t>9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34BE" w14:textId="77777777" w:rsidR="00D64864" w:rsidRPr="00EB383C" w:rsidRDefault="00D64864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Importância</w:t>
            </w:r>
            <w:r w:rsidRPr="00EB383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</w:rPr>
              <w:t xml:space="preserve"> </w:t>
            </w:r>
            <w:r w:rsidRPr="00EB383C">
              <w:rPr>
                <w:rFonts w:ascii="Times New Roman" w:hAnsi="Times New Roman" w:cs="Times New Roman"/>
                <w:color w:val="000000" w:themeColor="text1"/>
                <w:sz w:val="20"/>
              </w:rPr>
              <w:t>extrema</w:t>
            </w:r>
          </w:p>
        </w:tc>
        <w:tc>
          <w:tcPr>
            <w:tcW w:w="516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42110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evidência favorecendo uma atividade sobre 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outra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maior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possível,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mais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alto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grau</w:t>
            </w:r>
            <w:r w:rsidRPr="004E7EC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</w:t>
            </w:r>
          </w:p>
          <w:p w14:paraId="65351397" w14:textId="77777777" w:rsidR="00D64864" w:rsidRPr="004E7ECB" w:rsidRDefault="00D64864" w:rsidP="0029677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segurança.</w:t>
            </w:r>
          </w:p>
        </w:tc>
      </w:tr>
    </w:tbl>
    <w:p w14:paraId="4DCA86E1" w14:textId="77777777" w:rsidR="00D64864" w:rsidRPr="00EB383C" w:rsidRDefault="00D64864" w:rsidP="00D64864">
      <w:pPr>
        <w:spacing w:line="360" w:lineRule="auto"/>
        <w:ind w:leftChars="0" w:left="0" w:firstLineChars="0" w:firstLine="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</w:t>
      </w:r>
      <w:r w:rsidRPr="002823E8">
        <w:rPr>
          <w:b/>
          <w:color w:val="000000" w:themeColor="text1"/>
          <w:sz w:val="20"/>
          <w:szCs w:val="20"/>
        </w:rPr>
        <w:t>Fonte:</w:t>
      </w:r>
      <w:r w:rsidRPr="002823E8">
        <w:rPr>
          <w:color w:val="000000" w:themeColor="text1"/>
          <w:sz w:val="20"/>
          <w:szCs w:val="20"/>
        </w:rPr>
        <w:t xml:space="preserve"> Saaty (1991).</w:t>
      </w:r>
    </w:p>
    <w:p w14:paraId="0FEFFFA5" w14:textId="18157C3E" w:rsidR="00F22FE0" w:rsidRDefault="00F22FE0" w:rsidP="00F22FE0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 w:rsidRPr="009B7A08">
        <w:rPr>
          <w:color w:val="000000" w:themeColor="text1"/>
        </w:rPr>
        <w:lastRenderedPageBreak/>
        <w:t>A</w:t>
      </w:r>
      <w:r w:rsidR="00E33003">
        <w:rPr>
          <w:color w:val="000000" w:themeColor="text1"/>
        </w:rPr>
        <w:t>s</w:t>
      </w:r>
      <w:r w:rsidRPr="009B7A08">
        <w:rPr>
          <w:color w:val="000000" w:themeColor="text1"/>
        </w:rPr>
        <w:t xml:space="preserve"> comparações paritárias </w:t>
      </w:r>
      <w:r>
        <w:rPr>
          <w:color w:val="000000" w:themeColor="text1"/>
        </w:rPr>
        <w:t>obtidas da aplicação dos instrumentos de coleta de dados resultam n</w:t>
      </w:r>
      <w:r w:rsidRPr="009B7A08">
        <w:rPr>
          <w:color w:val="000000" w:themeColor="text1"/>
        </w:rPr>
        <w:t>as</w:t>
      </w:r>
      <w:r>
        <w:rPr>
          <w:color w:val="000000" w:themeColor="text1"/>
        </w:rPr>
        <w:t xml:space="preserve"> denominadas</w:t>
      </w:r>
      <w:r w:rsidRPr="009B7A08">
        <w:rPr>
          <w:color w:val="000000" w:themeColor="text1"/>
        </w:rPr>
        <w:t xml:space="preserve"> matrizes recíprocas</w:t>
      </w:r>
      <w:r>
        <w:rPr>
          <w:color w:val="000000" w:themeColor="text1"/>
        </w:rPr>
        <w:t xml:space="preserve">, </w:t>
      </w:r>
      <w:r w:rsidRPr="009B7A08">
        <w:rPr>
          <w:color w:val="000000" w:themeColor="text1"/>
        </w:rPr>
        <w:t>onde as linhas e colunas faz</w:t>
      </w:r>
      <w:r>
        <w:rPr>
          <w:color w:val="000000" w:themeColor="text1"/>
        </w:rPr>
        <w:t xml:space="preserve">em </w:t>
      </w:r>
      <w:r w:rsidRPr="009B7A08">
        <w:rPr>
          <w:color w:val="000000" w:themeColor="text1"/>
        </w:rPr>
        <w:t xml:space="preserve">referência aos elementos em comparação, criando uma matriz quadrada. Denominado </w:t>
      </w:r>
      <w:r w:rsidRPr="009B7A08">
        <w:rPr>
          <w:rFonts w:ascii="Cambria Math" w:hAnsi="Cambria Math" w:cs="Cambria Math"/>
          <w:color w:val="000000" w:themeColor="text1"/>
        </w:rPr>
        <w:t>𝑎𝑖</w:t>
      </w:r>
      <w:r w:rsidRPr="009B7A08">
        <w:rPr>
          <w:color w:val="000000" w:themeColor="text1"/>
        </w:rPr>
        <w:t>i, o elemento “</w:t>
      </w:r>
      <w:r w:rsidRPr="009B7A08">
        <w:rPr>
          <w:rFonts w:ascii="Cambria Math" w:hAnsi="Cambria Math" w:cs="Cambria Math"/>
          <w:color w:val="000000" w:themeColor="text1"/>
        </w:rPr>
        <w:t>𝑎</w:t>
      </w:r>
      <w:r w:rsidRPr="009B7A08">
        <w:rPr>
          <w:color w:val="000000" w:themeColor="text1"/>
        </w:rPr>
        <w:t>” que preenche a linha “</w:t>
      </w:r>
      <w:r w:rsidRPr="009B7A08">
        <w:rPr>
          <w:rFonts w:ascii="Cambria Math" w:hAnsi="Cambria Math" w:cs="Cambria Math"/>
          <w:color w:val="000000" w:themeColor="text1"/>
        </w:rPr>
        <w:t>𝑖</w:t>
      </w:r>
      <w:r w:rsidRPr="009B7A08">
        <w:rPr>
          <w:color w:val="000000" w:themeColor="text1"/>
        </w:rPr>
        <w:t>” e a coluna “</w:t>
      </w:r>
      <w:r w:rsidRPr="009B7A08">
        <w:rPr>
          <w:rFonts w:ascii="Cambria Math" w:hAnsi="Cambria Math" w:cs="Cambria Math"/>
          <w:color w:val="000000" w:themeColor="text1"/>
        </w:rPr>
        <w:t>𝑗</w:t>
      </w:r>
      <w:r w:rsidRPr="009B7A08">
        <w:rPr>
          <w:color w:val="000000" w:themeColor="text1"/>
        </w:rPr>
        <w:t>”, seu recíproco na posição de linha “</w:t>
      </w:r>
      <w:r w:rsidRPr="009B7A08">
        <w:rPr>
          <w:rFonts w:ascii="Cambria Math" w:hAnsi="Cambria Math" w:cs="Cambria Math"/>
          <w:color w:val="000000" w:themeColor="text1"/>
        </w:rPr>
        <w:t>𝑗</w:t>
      </w:r>
      <w:r w:rsidRPr="009B7A08">
        <w:rPr>
          <w:color w:val="000000" w:themeColor="text1"/>
        </w:rPr>
        <w:t>” e coluna “</w:t>
      </w:r>
      <w:r w:rsidRPr="009B7A08">
        <w:rPr>
          <w:rFonts w:ascii="Cambria Math" w:hAnsi="Cambria Math" w:cs="Cambria Math"/>
          <w:color w:val="000000" w:themeColor="text1"/>
        </w:rPr>
        <w:t>𝑖</w:t>
      </w:r>
      <w:r w:rsidRPr="009B7A08">
        <w:rPr>
          <w:color w:val="000000" w:themeColor="text1"/>
        </w:rPr>
        <w:t xml:space="preserve">” e de forma aritmética </w:t>
      </w:r>
      <w:r w:rsidRPr="009B7A08">
        <w:rPr>
          <w:rFonts w:ascii="Cambria Math" w:hAnsi="Cambria Math" w:cs="Cambria Math"/>
          <w:color w:val="000000" w:themeColor="text1"/>
        </w:rPr>
        <w:t>𝑎𝑗𝑗</w:t>
      </w:r>
      <w:r w:rsidRPr="009B7A08">
        <w:rPr>
          <w:color w:val="000000" w:themeColor="text1"/>
        </w:rPr>
        <w:t>=1/</w:t>
      </w:r>
      <w:r w:rsidRPr="009B7A08">
        <w:rPr>
          <w:rFonts w:ascii="Cambria Math" w:hAnsi="Cambria Math" w:cs="Cambria Math"/>
          <w:color w:val="000000" w:themeColor="text1"/>
        </w:rPr>
        <w:t>𝑎𝑖𝑖</w:t>
      </w:r>
      <w:r>
        <w:rPr>
          <w:color w:val="000000" w:themeColor="text1"/>
        </w:rPr>
        <w:t>, resultando na matriz de comparação de critérios</w:t>
      </w:r>
      <w:r w:rsidR="009137D2">
        <w:rPr>
          <w:color w:val="000000" w:themeColor="text1"/>
        </w:rPr>
        <w:t xml:space="preserve"> (ou de julgamento)</w:t>
      </w:r>
      <w:r>
        <w:rPr>
          <w:color w:val="000000" w:themeColor="text1"/>
        </w:rPr>
        <w:t xml:space="preserve"> apresentada:</w:t>
      </w:r>
    </w:p>
    <w:p w14:paraId="27084E5E" w14:textId="34C52582" w:rsidR="00F22FE0" w:rsidRDefault="00F22FE0" w:rsidP="00F22FE0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3FD75D64" w14:textId="63BC59E4" w:rsidR="00F22FE0" w:rsidRPr="0020230B" w:rsidRDefault="00F22FE0" w:rsidP="00F22FE0">
      <w:pPr>
        <w:spacing w:line="360" w:lineRule="auto"/>
        <w:ind w:leftChars="0" w:left="0" w:firstLineChars="0" w:firstLine="0"/>
        <w:jc w:val="center"/>
        <w:outlineLvl w:val="9"/>
        <w:rPr>
          <w:color w:val="000000" w:themeColor="text1"/>
          <w:sz w:val="20"/>
          <w:szCs w:val="20"/>
        </w:rPr>
      </w:pPr>
      <w:r w:rsidRPr="00F22FE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3993630" wp14:editId="6BD05D08">
                <wp:simplePos x="0" y="0"/>
                <wp:positionH relativeFrom="column">
                  <wp:posOffset>1151758</wp:posOffset>
                </wp:positionH>
                <wp:positionV relativeFrom="paragraph">
                  <wp:posOffset>554355</wp:posOffset>
                </wp:positionV>
                <wp:extent cx="476250" cy="238125"/>
                <wp:effectExtent l="0" t="0" r="0" b="9525"/>
                <wp:wrapNone/>
                <wp:docPr id="20124210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7BD35" w14:textId="65EC1595" w:rsidR="00F4244B" w:rsidRPr="00370C90" w:rsidRDefault="00F4244B" w:rsidP="009137D2">
                            <w:pPr>
                              <w:ind w:left="0" w:right="-259" w:hanging="2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22F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137D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0C9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3630" id="_x0000_s1027" type="#_x0000_t202" style="position:absolute;left:0;text-align:left;margin-left:90.7pt;margin-top:43.65pt;width:37.5pt;height:18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" stroked="f">
                <v:textbox>
                  <w:txbxContent>
                    <w:p w14:paraId="2E37BD35" w14:textId="65EC1595" w:rsidR="00F4244B" w:rsidRPr="00370C90" w:rsidRDefault="00F4244B" w:rsidP="009137D2">
                      <w:pPr>
                        <w:ind w:left="0" w:right="-259" w:hanging="2"/>
                        <w:rPr>
                          <w:bCs/>
                          <w:sz w:val="18"/>
                          <w:szCs w:val="18"/>
                        </w:rPr>
                      </w:pPr>
                      <w:r w:rsidRPr="00F22F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9137D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70C90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F22FE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9C7290E" wp14:editId="5654BCE5">
                <wp:simplePos x="0" y="0"/>
                <wp:positionH relativeFrom="column">
                  <wp:posOffset>1490345</wp:posOffset>
                </wp:positionH>
                <wp:positionV relativeFrom="paragraph">
                  <wp:posOffset>12065</wp:posOffset>
                </wp:positionV>
                <wp:extent cx="390525" cy="123825"/>
                <wp:effectExtent l="0" t="0" r="9525" b="9525"/>
                <wp:wrapNone/>
                <wp:docPr id="17101800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6DE6DC7" w14:textId="77777777" w:rsidR="00F4244B" w:rsidRDefault="00F4244B">
                                <w:pPr>
                                  <w:ind w:left="0" w:hanging="2"/>
                                </w:pPr>
                                <w:r>
                                  <w:t>[Capture a atenção do leitor com uma ótima citação do documento ou use este espaço para enfatizar um ponto-chave. Para colocar essa caixa de texto em qualquer lugar na página, basta arrastá-la.]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290E" id="_x0000_s1028" type="#_x0000_t202" style="position:absolute;left:0;text-align:left;margin-left:117.35pt;margin-top:.95pt;width:30.75pt;height:9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76DE6DC7" w14:textId="77777777" w:rsidR="00F4244B" w:rsidRDefault="00F4244B">
                          <w:pPr>
                            <w:ind w:left="0" w:hanging="2"/>
                          </w:pPr>
                          <w:r>
                            <w:t>[Capture a atenção do leitor com uma ótima citação do documento ou use este espaço para enfatizar um ponto-chave. Para colocar essa caixa de texto em qualquer lugar na página, basta arrastá-la.]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20230B">
        <w:rPr>
          <w:color w:val="000000" w:themeColor="text1"/>
          <w:sz w:val="20"/>
          <w:szCs w:val="20"/>
        </w:rPr>
        <w:t xml:space="preserve">A =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color w:val="000000" w:themeColor="text1"/>
                <w:sz w:val="20"/>
                <w:szCs w:val="20"/>
              </w:rPr>
            </m:ctrlPr>
          </m:dPr>
          <m:e>
            <m:m>
              <m:mPr>
                <m:rSpRule m:val="1"/>
                <m:cSp m:val="120"/>
                <m:cGpRule m:val="1"/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a12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a13</m:t>
                  </m:r>
                </m:e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a1j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0"/>
                          <w:szCs w:val="20"/>
                        </w:rPr>
                        <m:t>a12</m:t>
                      </m:r>
                    </m:den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a23</m:t>
                  </m:r>
                </m:e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0"/>
                      <w:szCs w:val="20"/>
                    </w:rPr>
                    <m:t>a2j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  <w:color w:val="FF0000"/>
                      <w:sz w:val="20"/>
                      <w:szCs w:val="20"/>
                      <w:lang w:eastAsia="en-US"/>
                    </w:rPr>
                    <m:t>⋮</m:t>
                  </m:r>
                  <m:f>
                    <m:fPr>
                      <m:type m:val="skw"/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a13</m:t>
                      </m:r>
                    </m:den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a23</m:t>
                      </m:r>
                    </m:den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a3j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0"/>
                      <w:szCs w:val="20"/>
                    </w:rPr>
                    <m:t>⋯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0"/>
                      <w:szCs w:val="20"/>
                    </w:rPr>
                    <m:t>⋯</m:t>
                  </m:r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0"/>
                      <w:szCs w:val="20"/>
                    </w:rPr>
                    <m:t>⋯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a1j</m:t>
                      </m:r>
                    </m:den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a2j</m:t>
                      </m:r>
                    </m:den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type m:val="skw"/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/>
                          <w:color w:val="000000" w:themeColor="text1"/>
                          <w:sz w:val="20"/>
                          <w:szCs w:val="20"/>
                        </w:rPr>
                        <m:t>a3j</m:t>
                      </m:r>
                    </m:den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f>
                    <m:fPr>
                      <m:ctrlPr>
                        <w:rPr>
                          <w:rStyle w:val="fontstyle01"/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/>
                    <m:den/>
                  </m:f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</w:p>
    <w:p w14:paraId="225989C6" w14:textId="713F5627" w:rsidR="00F22FE0" w:rsidRDefault="00F22FE0" w:rsidP="00F22FE0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135DB7C6" w14:textId="32EB928B" w:rsidR="00D64864" w:rsidRDefault="00F22FE0" w:rsidP="00D64864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Em que: </w:t>
      </w:r>
    </w:p>
    <w:p w14:paraId="0D5FEC77" w14:textId="77777777" w:rsidR="00D64864" w:rsidRDefault="00D64864" w:rsidP="00D64864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= valor da intensidade de importância de cada critério;</w:t>
      </w:r>
    </w:p>
    <w:p w14:paraId="33FF5A49" w14:textId="77777777" w:rsidR="00D64864" w:rsidRDefault="00D64864" w:rsidP="00D64864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i</w:t>
      </w:r>
      <w:proofErr w:type="gramEnd"/>
      <w:r>
        <w:rPr>
          <w:color w:val="000000" w:themeColor="text1"/>
        </w:rPr>
        <w:t xml:space="preserve"> = indicação da linha;</w:t>
      </w:r>
    </w:p>
    <w:p w14:paraId="6637802E" w14:textId="77777777" w:rsidR="00D64864" w:rsidRDefault="00D64864" w:rsidP="00D64864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j</w:t>
      </w:r>
      <w:proofErr w:type="gramEnd"/>
      <w:r>
        <w:rPr>
          <w:color w:val="000000" w:themeColor="text1"/>
        </w:rPr>
        <w:t xml:space="preserve"> = </w:t>
      </w:r>
      <w:r w:rsidRPr="00527D76">
        <w:rPr>
          <w:color w:val="000000" w:themeColor="text1"/>
        </w:rPr>
        <w:t>indicação da coluna.</w:t>
      </w:r>
    </w:p>
    <w:p w14:paraId="06652E8A" w14:textId="77777777" w:rsidR="00F22FE0" w:rsidRDefault="00F22FE0" w:rsidP="00D64864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7A3D407F" w14:textId="6534B1EA" w:rsidR="00D64864" w:rsidRPr="00527D76" w:rsidRDefault="00F22FE0" w:rsidP="00D64864">
      <w:pPr>
        <w:spacing w:line="240" w:lineRule="auto"/>
        <w:ind w:leftChars="0" w:left="0" w:firstLineChars="0" w:firstLine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Nota-se </w:t>
      </w:r>
      <w:r w:rsidR="00D64864" w:rsidRPr="00527D76">
        <w:rPr>
          <w:color w:val="000000" w:themeColor="text1"/>
          <w:shd w:val="clear" w:color="auto" w:fill="FFFFFF"/>
        </w:rPr>
        <w:t>a matriz de comparação (</w:t>
      </w:r>
      <w:r w:rsidR="00D64864" w:rsidRPr="00527D76">
        <w:rPr>
          <w:rFonts w:ascii="Cambria Math" w:hAnsi="Cambria Math" w:cs="Cambria Math"/>
          <w:color w:val="000000" w:themeColor="text1"/>
          <w:shd w:val="clear" w:color="auto" w:fill="FFFFFF"/>
        </w:rPr>
        <w:t>𝐴</w:t>
      </w:r>
      <w:r w:rsidR="00D64864" w:rsidRPr="00527D76">
        <w:rPr>
          <w:color w:val="000000" w:themeColor="text1"/>
          <w:shd w:val="clear" w:color="auto" w:fill="FFFFFF"/>
        </w:rPr>
        <w:t xml:space="preserve">) de </w:t>
      </w:r>
      <w:proofErr w:type="gramStart"/>
      <w:r w:rsidR="00D64864" w:rsidRPr="00527D76">
        <w:rPr>
          <w:color w:val="000000" w:themeColor="text1"/>
          <w:shd w:val="clear" w:color="auto" w:fill="FFFFFF"/>
        </w:rPr>
        <w:t>n</w:t>
      </w:r>
      <w:proofErr w:type="gramEnd"/>
      <w:r w:rsidR="00D64864" w:rsidRPr="00527D76">
        <w:rPr>
          <w:color w:val="000000" w:themeColor="text1"/>
          <w:shd w:val="clear" w:color="auto" w:fill="FFFFFF"/>
        </w:rPr>
        <w:t xml:space="preserve"> elementos de acordo com a Eq.1:</w:t>
      </w:r>
    </w:p>
    <w:p w14:paraId="1DAC2DD6" w14:textId="77777777" w:rsidR="00F22FE0" w:rsidRDefault="00D64864" w:rsidP="00D64864">
      <w:pPr>
        <w:spacing w:line="24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  <w:r w:rsidRPr="00527D76">
        <w:rPr>
          <w:rStyle w:val="fontstyle01"/>
          <w:rFonts w:ascii="Times New Roman" w:hAnsi="Times New Roman"/>
          <w:color w:val="000000" w:themeColor="text1"/>
        </w:rPr>
        <w:t xml:space="preserve">                                                              </w:t>
      </w:r>
    </w:p>
    <w:p w14:paraId="1AE03589" w14:textId="2A20A8C0" w:rsidR="00D64864" w:rsidRPr="00527D76" w:rsidRDefault="00130A0D" w:rsidP="00370C90">
      <w:pPr>
        <w:spacing w:line="240" w:lineRule="auto"/>
        <w:ind w:leftChars="0" w:left="0" w:firstLineChars="0" w:firstLine="0"/>
        <w:jc w:val="center"/>
        <w:rPr>
          <w:color w:val="000000" w:themeColor="text1"/>
          <w:shd w:val="clear" w:color="auto" w:fill="FFFFFF"/>
        </w:rPr>
      </w:pPr>
      <w:r>
        <w:rPr>
          <w:rStyle w:val="fontstyle01"/>
          <w:rFonts w:ascii="Times New Roman" w:hAnsi="Times New Roman"/>
          <w:color w:val="000000" w:themeColor="text1"/>
        </w:rPr>
        <w:t xml:space="preserve">                                                    </w:t>
      </w:r>
      <w:r w:rsidR="00D64864" w:rsidRPr="00527D76">
        <w:rPr>
          <w:rStyle w:val="fontstyle01"/>
          <w:rFonts w:ascii="Cambria Math" w:hAnsi="Cambria Math" w:cs="Cambria Math"/>
          <w:color w:val="000000" w:themeColor="text1"/>
        </w:rPr>
        <w:t>𝐴</w:t>
      </w:r>
      <w:r w:rsidR="00D64864" w:rsidRPr="00527D76">
        <w:rPr>
          <w:color w:val="000000" w:themeColor="text1"/>
          <w:shd w:val="clear" w:color="auto" w:fill="FFFFFF"/>
        </w:rPr>
        <w:t xml:space="preserve"> = [</w:t>
      </w:r>
      <w:r w:rsidR="00D64864" w:rsidRPr="00527D76">
        <w:rPr>
          <w:rFonts w:ascii="Cambria Math" w:eastAsia="Cambria Math" w:hAnsi="Cambria Math" w:cs="Cambria Math"/>
          <w:color w:val="000000" w:themeColor="text1"/>
          <w:position w:val="1"/>
        </w:rPr>
        <w:t>𝑎</w:t>
      </w:r>
      <w:r w:rsidR="00D64864" w:rsidRPr="00527D76">
        <w:rPr>
          <w:rFonts w:ascii="Cambria Math" w:eastAsia="Cambria Math" w:hAnsi="Cambria Math" w:cs="Cambria Math"/>
          <w:color w:val="000000" w:themeColor="text1"/>
          <w:position w:val="1"/>
          <w:vertAlign w:val="subscript"/>
        </w:rPr>
        <w:t>𝑖</w:t>
      </w:r>
      <w:r w:rsidR="00D64864" w:rsidRPr="00527D76">
        <w:rPr>
          <w:rFonts w:eastAsia="Cambria Math"/>
          <w:color w:val="000000" w:themeColor="text1"/>
          <w:position w:val="1"/>
          <w:vertAlign w:val="subscript"/>
        </w:rPr>
        <w:t>j</w:t>
      </w:r>
      <w:r w:rsidR="00D64864" w:rsidRPr="00527D76">
        <w:rPr>
          <w:color w:val="000000" w:themeColor="text1"/>
          <w:shd w:val="clear" w:color="auto" w:fill="FFFFFF"/>
        </w:rPr>
        <w:t>]</w:t>
      </w:r>
      <w:r w:rsidR="00D64864" w:rsidRPr="00527D76">
        <w:rPr>
          <w:color w:val="000000" w:themeColor="text1"/>
          <w:shd w:val="clear" w:color="auto" w:fill="FFFFFF"/>
          <w:vertAlign w:val="subscript"/>
        </w:rPr>
        <w:t xml:space="preserve">n </w:t>
      </w:r>
      <w:proofErr w:type="spellStart"/>
      <w:r w:rsidR="00D64864" w:rsidRPr="00527D76">
        <w:rPr>
          <w:color w:val="000000" w:themeColor="text1"/>
          <w:shd w:val="clear" w:color="auto" w:fill="FFFFFF"/>
          <w:vertAlign w:val="subscript"/>
        </w:rPr>
        <w:t>n</w:t>
      </w:r>
      <w:proofErr w:type="spellEnd"/>
      <w:r w:rsidR="00D64864" w:rsidRPr="00527D76">
        <w:rPr>
          <w:color w:val="000000" w:themeColor="text1"/>
          <w:shd w:val="clear" w:color="auto" w:fill="FFFFFF"/>
          <w:vertAlign w:val="subscript"/>
        </w:rPr>
        <w:t xml:space="preserve"> </w:t>
      </w:r>
      <w:r w:rsidR="00D64864" w:rsidRPr="00527D76">
        <w:rPr>
          <w:color w:val="000000" w:themeColor="text1"/>
          <w:shd w:val="clear" w:color="auto" w:fill="FFFFFF"/>
        </w:rPr>
        <w:t xml:space="preserve">                                                                         </w:t>
      </w:r>
      <w:proofErr w:type="gramStart"/>
      <w:r w:rsidR="00D64864" w:rsidRPr="00527D76">
        <w:rPr>
          <w:color w:val="000000" w:themeColor="text1"/>
          <w:shd w:val="clear" w:color="auto" w:fill="FFFFFF"/>
        </w:rPr>
        <w:t xml:space="preserve">   (</w:t>
      </w:r>
      <w:proofErr w:type="gramEnd"/>
      <w:r w:rsidR="00D64864" w:rsidRPr="00527D76">
        <w:rPr>
          <w:color w:val="000000" w:themeColor="text1"/>
          <w:shd w:val="clear" w:color="auto" w:fill="FFFFFF"/>
        </w:rPr>
        <w:t>1)</w:t>
      </w:r>
    </w:p>
    <w:p w14:paraId="267283BD" w14:textId="77777777" w:rsidR="00D64864" w:rsidRPr="00527D76" w:rsidRDefault="00D64864" w:rsidP="00D64864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1234C1A1" w14:textId="5EC8C333" w:rsidR="00D64864" w:rsidRDefault="00370C90" w:rsidP="00D64864">
      <w:pPr>
        <w:spacing w:line="240" w:lineRule="auto"/>
        <w:ind w:leftChars="0" w:left="0" w:firstLineChars="0" w:firstLine="0"/>
        <w:jc w:val="both"/>
        <w:rPr>
          <w:color w:val="000000" w:themeColor="text1"/>
          <w:position w:val="1"/>
        </w:rPr>
      </w:pPr>
      <w:r>
        <w:rPr>
          <w:color w:val="000000" w:themeColor="text1"/>
        </w:rPr>
        <w:t>Com a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escala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de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valores</w:t>
      </w:r>
      <w:r w:rsidR="00D64864" w:rsidRPr="00527D76">
        <w:rPr>
          <w:color w:val="000000" w:themeColor="text1"/>
          <w:spacing w:val="-2"/>
        </w:rPr>
        <w:t xml:space="preserve"> </w:t>
      </w:r>
      <w:r w:rsidR="00D64864" w:rsidRPr="00527D76">
        <w:rPr>
          <w:color w:val="000000" w:themeColor="text1"/>
        </w:rPr>
        <w:t>proposta</w:t>
      </w:r>
      <w:r w:rsidR="00D64864" w:rsidRPr="00527D76">
        <w:rPr>
          <w:color w:val="000000" w:themeColor="text1"/>
          <w:spacing w:val="-2"/>
        </w:rPr>
        <w:t xml:space="preserve"> </w:t>
      </w:r>
      <w:r w:rsidR="00D64864" w:rsidRPr="00527D76">
        <w:rPr>
          <w:color w:val="000000" w:themeColor="text1"/>
        </w:rPr>
        <w:t>por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Saaty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(1991),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para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as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linhas</w:t>
      </w:r>
      <w:r w:rsidR="00D64864" w:rsidRPr="00527D76">
        <w:rPr>
          <w:color w:val="000000" w:themeColor="text1"/>
          <w:spacing w:val="-2"/>
        </w:rPr>
        <w:t xml:space="preserve"> </w:t>
      </w:r>
      <w:r w:rsidR="00D64864" w:rsidRPr="00527D76">
        <w:rPr>
          <w:rFonts w:eastAsia="Cambria Math"/>
          <w:color w:val="000000" w:themeColor="text1"/>
        </w:rPr>
        <w:t>i</w:t>
      </w:r>
      <w:r w:rsidR="00D64864" w:rsidRPr="00527D76">
        <w:rPr>
          <w:rFonts w:eastAsia="Cambria Math"/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e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as</w:t>
      </w:r>
      <w:r w:rsidR="00D64864" w:rsidRPr="00527D76">
        <w:rPr>
          <w:color w:val="000000" w:themeColor="text1"/>
          <w:spacing w:val="-3"/>
        </w:rPr>
        <w:t xml:space="preserve"> </w:t>
      </w:r>
      <w:r w:rsidR="00D64864" w:rsidRPr="00527D76">
        <w:rPr>
          <w:color w:val="000000" w:themeColor="text1"/>
        </w:rPr>
        <w:t>colunas</w:t>
      </w:r>
      <w:r w:rsidR="00D64864" w:rsidRPr="00527D76">
        <w:rPr>
          <w:color w:val="000000" w:themeColor="text1"/>
          <w:spacing w:val="-2"/>
        </w:rPr>
        <w:t xml:space="preserve"> </w:t>
      </w:r>
      <w:r w:rsidR="00D64864" w:rsidRPr="00527D76">
        <w:rPr>
          <w:rFonts w:ascii="Cambria Math" w:eastAsia="Cambria Math" w:hAnsi="Cambria Math" w:cs="Cambria Math"/>
          <w:color w:val="000000" w:themeColor="text1"/>
          <w:w w:val="90"/>
        </w:rPr>
        <w:t>𝑗</w:t>
      </w:r>
      <w:r w:rsidR="00D64864" w:rsidRPr="00527D76">
        <w:rPr>
          <w:rFonts w:eastAsia="Cambria Math"/>
          <w:color w:val="000000" w:themeColor="text1"/>
          <w:spacing w:val="6"/>
          <w:w w:val="90"/>
        </w:rPr>
        <w:t xml:space="preserve"> </w:t>
      </w:r>
      <w:r w:rsidR="00D64864" w:rsidRPr="00527D76">
        <w:rPr>
          <w:color w:val="000000" w:themeColor="text1"/>
        </w:rPr>
        <w:t>da</w:t>
      </w:r>
      <w:r w:rsidR="00D64864" w:rsidRPr="00527D76">
        <w:rPr>
          <w:color w:val="000000" w:themeColor="text1"/>
          <w:spacing w:val="-50"/>
        </w:rPr>
        <w:t xml:space="preserve">         </w:t>
      </w:r>
      <w:r w:rsidR="00D64864" w:rsidRPr="00527D76">
        <w:rPr>
          <w:color w:val="000000" w:themeColor="text1"/>
          <w:position w:val="1"/>
        </w:rPr>
        <w:t xml:space="preserve"> matriz</w:t>
      </w:r>
      <w:r w:rsidR="00D64864" w:rsidRPr="00527D76">
        <w:rPr>
          <w:color w:val="000000" w:themeColor="text1"/>
          <w:spacing w:val="-8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A</w:t>
      </w:r>
      <w:r w:rsidR="00D64864" w:rsidRPr="00527D76">
        <w:rPr>
          <w:color w:val="000000" w:themeColor="text1"/>
          <w:position w:val="1"/>
        </w:rPr>
        <w:t xml:space="preserve"> </w:t>
      </w:r>
      <w:r w:rsidR="00D64864" w:rsidRPr="00527D76">
        <w:rPr>
          <w:rFonts w:ascii="Cambria Math" w:hAnsi="Cambria Math" w:cs="Cambria Math"/>
          <w:color w:val="000000" w:themeColor="text1"/>
          <w:position w:val="1"/>
        </w:rPr>
        <w:t>𝑎𝑖</w:t>
      </w:r>
      <w:r w:rsidR="00D64864" w:rsidRPr="00527D76">
        <w:rPr>
          <w:color w:val="000000" w:themeColor="text1"/>
          <w:position w:val="1"/>
        </w:rPr>
        <w:t>j</w:t>
      </w:r>
      <w:r w:rsidR="00D64864" w:rsidRPr="00527D76">
        <w:rPr>
          <w:rFonts w:eastAsia="Cambria Math"/>
          <w:color w:val="000000" w:themeColor="text1"/>
          <w:spacing w:val="19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=</w:t>
      </w:r>
      <w:r w:rsidR="00D64864" w:rsidRPr="00527D76">
        <w:rPr>
          <w:rFonts w:eastAsia="Cambria Math"/>
          <w:color w:val="000000" w:themeColor="text1"/>
          <w:spacing w:val="52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w w:val="90"/>
          <w:position w:val="9"/>
        </w:rPr>
        <w:t>1/</w:t>
      </w:r>
      <w:r w:rsidR="00D64864" w:rsidRPr="00527D76">
        <w:rPr>
          <w:rFonts w:ascii="Cambria Math" w:eastAsia="Cambria Math" w:hAnsi="Cambria Math" w:cs="Cambria Math"/>
          <w:color w:val="000000" w:themeColor="text1"/>
          <w:w w:val="90"/>
          <w:position w:val="-3"/>
        </w:rPr>
        <w:t>𝑎</w:t>
      </w:r>
      <w:r w:rsidR="00D64864" w:rsidRPr="00527D76">
        <w:rPr>
          <w:rFonts w:ascii="Cambria Math" w:eastAsia="Cambria Math" w:hAnsi="Cambria Math" w:cs="Cambria Math"/>
          <w:color w:val="000000" w:themeColor="text1"/>
          <w:w w:val="90"/>
          <w:position w:val="-8"/>
        </w:rPr>
        <w:t>𝑖</w:t>
      </w:r>
      <w:r w:rsidR="00D64864" w:rsidRPr="00527D76">
        <w:rPr>
          <w:rFonts w:eastAsia="Cambria Math"/>
          <w:color w:val="000000" w:themeColor="text1"/>
          <w:w w:val="90"/>
          <w:position w:val="-8"/>
        </w:rPr>
        <w:t>j</w:t>
      </w:r>
      <w:r w:rsidR="00D64864" w:rsidRPr="00527D76">
        <w:rPr>
          <w:rFonts w:eastAsia="Cambria Math"/>
          <w:color w:val="000000" w:themeColor="text1"/>
          <w:spacing w:val="26"/>
          <w:w w:val="90"/>
          <w:position w:val="-8"/>
        </w:rPr>
        <w:t xml:space="preserve"> </w:t>
      </w:r>
      <w:r w:rsidR="00D64864" w:rsidRPr="00527D76">
        <w:rPr>
          <w:color w:val="000000" w:themeColor="text1"/>
          <w:position w:val="1"/>
        </w:rPr>
        <w:t>e</w:t>
      </w:r>
      <w:r w:rsidR="00D64864" w:rsidRPr="00527D76">
        <w:rPr>
          <w:color w:val="000000" w:themeColor="text1"/>
          <w:spacing w:val="-6"/>
          <w:position w:val="1"/>
        </w:rPr>
        <w:t xml:space="preserve"> </w:t>
      </w:r>
      <w:r w:rsidR="00D64864" w:rsidRPr="00527D76">
        <w:rPr>
          <w:rFonts w:ascii="Cambria Math" w:eastAsia="Cambria Math" w:hAnsi="Cambria Math" w:cs="Cambria Math"/>
          <w:color w:val="000000" w:themeColor="text1"/>
          <w:position w:val="1"/>
        </w:rPr>
        <w:t>𝑎</w:t>
      </w:r>
      <w:r w:rsidR="00D64864" w:rsidRPr="00527D76">
        <w:rPr>
          <w:rFonts w:ascii="Cambria Math" w:eastAsia="Cambria Math" w:hAnsi="Cambria Math" w:cs="Cambria Math"/>
          <w:color w:val="000000" w:themeColor="text1"/>
          <w:position w:val="1"/>
          <w:vertAlign w:val="subscript"/>
        </w:rPr>
        <w:t>𝑖𝑖</w:t>
      </w:r>
      <w:r w:rsidR="00D64864" w:rsidRPr="00527D76">
        <w:rPr>
          <w:rFonts w:eastAsia="Cambria Math"/>
          <w:color w:val="000000" w:themeColor="text1"/>
          <w:spacing w:val="19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=</w:t>
      </w:r>
      <w:r w:rsidR="00D64864" w:rsidRPr="00527D76">
        <w:rPr>
          <w:rFonts w:eastAsia="Cambria Math"/>
          <w:color w:val="000000" w:themeColor="text1"/>
          <w:spacing w:val="5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1</w:t>
      </w:r>
      <w:r w:rsidR="00D64864" w:rsidRPr="00527D76">
        <w:rPr>
          <w:color w:val="000000" w:themeColor="text1"/>
          <w:position w:val="1"/>
        </w:rPr>
        <w:t>,</w:t>
      </w:r>
      <w:r w:rsidR="00D64864" w:rsidRPr="00527D76">
        <w:rPr>
          <w:color w:val="000000" w:themeColor="text1"/>
          <w:spacing w:val="-7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para</w:t>
      </w:r>
      <w:r w:rsidR="00D64864" w:rsidRPr="00527D76">
        <w:rPr>
          <w:color w:val="000000" w:themeColor="text1"/>
          <w:spacing w:val="-6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quaisquer</w:t>
      </w:r>
      <w:r w:rsidR="00D64864" w:rsidRPr="00527D76">
        <w:rPr>
          <w:color w:val="000000" w:themeColor="text1"/>
          <w:spacing w:val="-7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i</w:t>
      </w:r>
      <w:r w:rsidR="00D64864" w:rsidRPr="00527D76">
        <w:rPr>
          <w:color w:val="000000" w:themeColor="text1"/>
          <w:spacing w:val="-6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e</w:t>
      </w:r>
      <w:r w:rsidR="00D64864" w:rsidRPr="00527D76">
        <w:rPr>
          <w:color w:val="000000" w:themeColor="text1"/>
          <w:spacing w:val="-6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j</w:t>
      </w:r>
      <w:r w:rsidR="00D64864" w:rsidRPr="00527D76">
        <w:rPr>
          <w:color w:val="000000" w:themeColor="text1"/>
          <w:spacing w:val="-7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inteiros</w:t>
      </w:r>
      <w:r w:rsidR="00D64864" w:rsidRPr="00527D76">
        <w:rPr>
          <w:color w:val="000000" w:themeColor="text1"/>
          <w:spacing w:val="-7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de</w:t>
      </w:r>
      <w:r w:rsidR="00D64864" w:rsidRPr="00527D76">
        <w:rPr>
          <w:color w:val="000000" w:themeColor="text1"/>
          <w:spacing w:val="-7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1</w:t>
      </w:r>
      <w:r w:rsidR="00D64864" w:rsidRPr="00527D76">
        <w:rPr>
          <w:rFonts w:eastAsia="Cambria Math"/>
          <w:color w:val="000000" w:themeColor="text1"/>
          <w:spacing w:val="6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≤</w:t>
      </w:r>
      <w:r w:rsidR="00D64864" w:rsidRPr="00527D76">
        <w:rPr>
          <w:rFonts w:eastAsia="Cambria Math"/>
          <w:color w:val="000000" w:themeColor="text1"/>
          <w:spacing w:val="5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i</w:t>
      </w:r>
      <w:r w:rsidR="00D64864" w:rsidRPr="00527D76">
        <w:rPr>
          <w:rFonts w:eastAsia="Cambria Math"/>
          <w:color w:val="000000" w:themeColor="text1"/>
          <w:spacing w:val="5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≤</w:t>
      </w:r>
      <w:r w:rsidR="00D64864" w:rsidRPr="00527D76">
        <w:rPr>
          <w:rFonts w:eastAsia="Cambria Math"/>
          <w:color w:val="000000" w:themeColor="text1"/>
          <w:spacing w:val="6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n</w:t>
      </w:r>
      <w:r w:rsidR="00D64864" w:rsidRPr="00527D76">
        <w:rPr>
          <w:rFonts w:eastAsia="Cambria Math"/>
          <w:color w:val="000000" w:themeColor="text1"/>
          <w:spacing w:val="-7"/>
          <w:position w:val="1"/>
        </w:rPr>
        <w:t xml:space="preserve"> </w:t>
      </w:r>
      <w:r w:rsidR="00D64864" w:rsidRPr="00527D76">
        <w:rPr>
          <w:color w:val="000000" w:themeColor="text1"/>
          <w:position w:val="1"/>
        </w:rPr>
        <w:t>e</w:t>
      </w:r>
      <w:r w:rsidR="00D64864" w:rsidRPr="00527D76">
        <w:rPr>
          <w:color w:val="000000" w:themeColor="text1"/>
          <w:spacing w:val="-6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1</w:t>
      </w:r>
      <w:r w:rsidR="00D64864" w:rsidRPr="00527D76">
        <w:rPr>
          <w:rFonts w:eastAsia="Cambria Math"/>
          <w:color w:val="000000" w:themeColor="text1"/>
          <w:spacing w:val="5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≤</w:t>
      </w:r>
      <w:r w:rsidR="00D64864" w:rsidRPr="00527D76">
        <w:rPr>
          <w:rFonts w:eastAsia="Cambria Math"/>
          <w:color w:val="000000" w:themeColor="text1"/>
          <w:spacing w:val="5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j</w:t>
      </w:r>
      <w:r w:rsidR="00D64864" w:rsidRPr="00527D76">
        <w:rPr>
          <w:rFonts w:eastAsia="Cambria Math"/>
          <w:color w:val="000000" w:themeColor="text1"/>
          <w:spacing w:val="6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≤</w:t>
      </w:r>
      <w:r w:rsidR="00D64864" w:rsidRPr="00527D76">
        <w:rPr>
          <w:rFonts w:eastAsia="Cambria Math"/>
          <w:color w:val="000000" w:themeColor="text1"/>
          <w:spacing w:val="6"/>
          <w:position w:val="1"/>
        </w:rPr>
        <w:t xml:space="preserve"> </w:t>
      </w:r>
      <w:r w:rsidR="00D64864" w:rsidRPr="00527D76">
        <w:rPr>
          <w:rFonts w:eastAsia="Cambria Math"/>
          <w:color w:val="000000" w:themeColor="text1"/>
          <w:position w:val="1"/>
        </w:rPr>
        <w:t>n</w:t>
      </w:r>
      <w:r w:rsidR="00D64864" w:rsidRPr="00527D76">
        <w:rPr>
          <w:color w:val="000000" w:themeColor="text1"/>
          <w:position w:val="1"/>
        </w:rPr>
        <w:t>.</w:t>
      </w:r>
      <w:r w:rsidR="00D64864">
        <w:rPr>
          <w:color w:val="000000" w:themeColor="text1"/>
          <w:position w:val="1"/>
        </w:rPr>
        <w:t xml:space="preserve"> </w:t>
      </w:r>
    </w:p>
    <w:p w14:paraId="2190B5D6" w14:textId="7ACD6E35" w:rsidR="007B627B" w:rsidRDefault="007B627B" w:rsidP="00130A0D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0BDA74B8" w14:textId="1B67C3A6" w:rsidR="00130A0D" w:rsidRPr="00527D76" w:rsidRDefault="00130A0D" w:rsidP="00130A0D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De posse da matriz de julgamentos, </w:t>
      </w:r>
      <w:r w:rsidRPr="00527D76">
        <w:rPr>
          <w:color w:val="000000" w:themeColor="text1"/>
        </w:rPr>
        <w:t>verifica-se a consistência lógica que consiste no cálculo dos pesos dos componentes dentro da hierarquia, assim como da consistência dos julgamentos dos participantes. Com os</w:t>
      </w:r>
      <w:r w:rsidRPr="00527D76">
        <w:rPr>
          <w:color w:val="000000" w:themeColor="text1"/>
          <w:spacing w:val="1"/>
        </w:rPr>
        <w:t xml:space="preserve"> </w:t>
      </w:r>
      <w:r w:rsidRPr="00527D76">
        <w:rPr>
          <w:color w:val="000000" w:themeColor="text1"/>
        </w:rPr>
        <w:t>dados</w:t>
      </w:r>
      <w:r w:rsidRPr="00527D76">
        <w:rPr>
          <w:color w:val="000000" w:themeColor="text1"/>
          <w:spacing w:val="-1"/>
        </w:rPr>
        <w:t xml:space="preserve"> </w:t>
      </w:r>
      <w:r w:rsidRPr="00527D76">
        <w:rPr>
          <w:color w:val="000000" w:themeColor="text1"/>
        </w:rPr>
        <w:t>inseridos</w:t>
      </w:r>
      <w:r w:rsidRPr="00527D76">
        <w:rPr>
          <w:color w:val="000000" w:themeColor="text1"/>
          <w:spacing w:val="-1"/>
        </w:rPr>
        <w:t xml:space="preserve"> </w:t>
      </w:r>
      <w:r w:rsidRPr="00527D76">
        <w:rPr>
          <w:color w:val="000000" w:themeColor="text1"/>
        </w:rPr>
        <w:t>na</w:t>
      </w:r>
      <w:r w:rsidRPr="00527D76">
        <w:rPr>
          <w:color w:val="000000" w:themeColor="text1"/>
          <w:spacing w:val="-1"/>
        </w:rPr>
        <w:t xml:space="preserve"> </w:t>
      </w:r>
      <w:r w:rsidRPr="00527D76">
        <w:rPr>
          <w:color w:val="000000" w:themeColor="text1"/>
        </w:rPr>
        <w:t>matriz</w:t>
      </w:r>
      <w:r w:rsidRPr="00527D76">
        <w:rPr>
          <w:color w:val="000000" w:themeColor="text1"/>
          <w:spacing w:val="-2"/>
        </w:rPr>
        <w:t xml:space="preserve"> </w:t>
      </w:r>
      <w:r w:rsidRPr="00527D76">
        <w:rPr>
          <w:color w:val="000000" w:themeColor="text1"/>
        </w:rPr>
        <w:t>de</w:t>
      </w:r>
      <w:r w:rsidRPr="00527D76">
        <w:rPr>
          <w:color w:val="000000" w:themeColor="text1"/>
          <w:spacing w:val="-1"/>
        </w:rPr>
        <w:t xml:space="preserve"> </w:t>
      </w:r>
      <w:r w:rsidRPr="00527D76">
        <w:rPr>
          <w:color w:val="000000" w:themeColor="text1"/>
        </w:rPr>
        <w:t>comparação,</w:t>
      </w:r>
      <w:r w:rsidRPr="00527D76">
        <w:rPr>
          <w:color w:val="000000" w:themeColor="text1"/>
          <w:spacing w:val="-2"/>
        </w:rPr>
        <w:t xml:space="preserve"> </w:t>
      </w:r>
      <w:r w:rsidRPr="00527D76">
        <w:rPr>
          <w:color w:val="000000" w:themeColor="text1"/>
        </w:rPr>
        <w:t>obtêm-se</w:t>
      </w:r>
      <w:r w:rsidRPr="00527D76">
        <w:rPr>
          <w:color w:val="000000" w:themeColor="text1"/>
          <w:spacing w:val="-1"/>
        </w:rPr>
        <w:t xml:space="preserve"> </w:t>
      </w:r>
      <w:r w:rsidRPr="00527D76">
        <w:rPr>
          <w:color w:val="000000" w:themeColor="text1"/>
        </w:rPr>
        <w:t>os</w:t>
      </w:r>
      <w:r w:rsidRPr="00527D76">
        <w:rPr>
          <w:color w:val="000000" w:themeColor="text1"/>
          <w:spacing w:val="-1"/>
        </w:rPr>
        <w:t xml:space="preserve"> </w:t>
      </w:r>
      <w:proofErr w:type="spellStart"/>
      <w:r w:rsidRPr="00527D76">
        <w:rPr>
          <w:color w:val="000000" w:themeColor="text1"/>
        </w:rPr>
        <w:t>autovetores</w:t>
      </w:r>
      <w:proofErr w:type="spellEnd"/>
      <w:r w:rsidRPr="00527D76">
        <w:rPr>
          <w:color w:val="000000" w:themeColor="text1"/>
          <w:spacing w:val="-1"/>
        </w:rPr>
        <w:t xml:space="preserve"> </w:t>
      </w:r>
      <w:r w:rsidRPr="00527D76">
        <w:rPr>
          <w:color w:val="000000" w:themeColor="text1"/>
        </w:rPr>
        <w:t>e</w:t>
      </w:r>
      <w:r w:rsidRPr="00527D76">
        <w:rPr>
          <w:color w:val="000000" w:themeColor="text1"/>
          <w:spacing w:val="-2"/>
        </w:rPr>
        <w:t xml:space="preserve"> </w:t>
      </w:r>
      <w:r w:rsidRPr="00527D76">
        <w:rPr>
          <w:color w:val="000000" w:themeColor="text1"/>
        </w:rPr>
        <w:t xml:space="preserve">autovalores. Para isso, primeiramente, somam-se os elementos de cada coluna da matriz </w:t>
      </w:r>
      <w:r w:rsidRPr="00527D76">
        <w:rPr>
          <w:rFonts w:ascii="Cambria Math" w:eastAsia="Cambria Math" w:hAnsi="Cambria Math" w:cs="Cambria Math"/>
          <w:color w:val="000000" w:themeColor="text1"/>
        </w:rPr>
        <w:t>𝐴</w:t>
      </w:r>
      <w:r w:rsidRPr="00527D76">
        <w:rPr>
          <w:rFonts w:eastAsia="Cambria Math"/>
          <w:color w:val="000000" w:themeColor="text1"/>
        </w:rPr>
        <w:t xml:space="preserve"> </w:t>
      </w:r>
      <w:r w:rsidRPr="00527D76">
        <w:rPr>
          <w:color w:val="000000" w:themeColor="text1"/>
        </w:rPr>
        <w:t>e divide-se</w:t>
      </w:r>
      <w:r w:rsidRPr="00527D76">
        <w:rPr>
          <w:color w:val="000000" w:themeColor="text1"/>
          <w:spacing w:val="1"/>
        </w:rPr>
        <w:t xml:space="preserve"> </w:t>
      </w:r>
      <w:r w:rsidRPr="00527D76">
        <w:rPr>
          <w:color w:val="000000" w:themeColor="text1"/>
        </w:rPr>
        <w:t xml:space="preserve">cada elemento da matriz </w:t>
      </w:r>
      <w:r w:rsidRPr="00527D76">
        <w:rPr>
          <w:rFonts w:ascii="Cambria Math" w:eastAsia="Cambria Math" w:hAnsi="Cambria Math" w:cs="Cambria Math"/>
          <w:color w:val="000000" w:themeColor="text1"/>
        </w:rPr>
        <w:t>𝐴</w:t>
      </w:r>
      <w:r w:rsidRPr="00527D76">
        <w:rPr>
          <w:rFonts w:eastAsia="Cambria Math"/>
          <w:color w:val="000000" w:themeColor="text1"/>
        </w:rPr>
        <w:t xml:space="preserve"> </w:t>
      </w:r>
      <w:r w:rsidRPr="00527D76">
        <w:rPr>
          <w:color w:val="000000" w:themeColor="text1"/>
        </w:rPr>
        <w:t xml:space="preserve">pelo somatório de sua respectiva coluna. Esses novos valores serão </w:t>
      </w:r>
      <w:r w:rsidR="00B618AC">
        <w:rPr>
          <w:color w:val="000000" w:themeColor="text1"/>
          <w:spacing w:val="-1"/>
        </w:rPr>
        <w:t xml:space="preserve">os </w:t>
      </w:r>
      <w:r w:rsidRPr="00527D76">
        <w:rPr>
          <w:color w:val="000000" w:themeColor="text1"/>
        </w:rPr>
        <w:t>elementos da matriz</w:t>
      </w:r>
      <w:r w:rsidRPr="00527D76">
        <w:rPr>
          <w:color w:val="000000" w:themeColor="text1"/>
          <w:spacing w:val="-1"/>
        </w:rPr>
        <w:t xml:space="preserve"> </w:t>
      </w:r>
      <w:r w:rsidRPr="00527D76">
        <w:rPr>
          <w:rFonts w:ascii="Cambria Math" w:eastAsia="Cambria Math" w:hAnsi="Cambria Math" w:cs="Cambria Math"/>
          <w:color w:val="000000" w:themeColor="text1"/>
        </w:rPr>
        <w:t>𝐴</w:t>
      </w:r>
      <w:r w:rsidRPr="00527D76">
        <w:rPr>
          <w:rFonts w:eastAsia="Cambria Math"/>
          <w:color w:val="000000" w:themeColor="text1"/>
        </w:rPr>
        <w:t>′</w:t>
      </w:r>
      <w:r w:rsidRPr="00527D76">
        <w:rPr>
          <w:rFonts w:eastAsia="Cambria Math"/>
          <w:color w:val="000000" w:themeColor="text1"/>
          <w:spacing w:val="-2"/>
        </w:rPr>
        <w:t xml:space="preserve"> </w:t>
      </w:r>
      <w:r w:rsidRPr="00527D76">
        <w:rPr>
          <w:color w:val="000000" w:themeColor="text1"/>
        </w:rPr>
        <w:t>denominada matriz</w:t>
      </w:r>
      <w:r w:rsidRPr="00527D76">
        <w:rPr>
          <w:color w:val="000000" w:themeColor="text1"/>
          <w:spacing w:val="-2"/>
        </w:rPr>
        <w:t xml:space="preserve"> </w:t>
      </w:r>
      <w:r w:rsidRPr="00527D76">
        <w:rPr>
          <w:color w:val="000000" w:themeColor="text1"/>
        </w:rPr>
        <w:t>normalizada Eq. 2:</w:t>
      </w:r>
    </w:p>
    <w:p w14:paraId="56BC7987" w14:textId="77777777" w:rsidR="00130A0D" w:rsidRPr="00527D76" w:rsidRDefault="00130A0D" w:rsidP="00130A0D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178F2336" w14:textId="77777777" w:rsidR="00130A0D" w:rsidRPr="00527D76" w:rsidRDefault="00130A0D" w:rsidP="00130A0D">
      <w:pPr>
        <w:tabs>
          <w:tab w:val="left" w:pos="3402"/>
        </w:tabs>
        <w:spacing w:line="360" w:lineRule="auto"/>
        <w:ind w:leftChars="0" w:left="0" w:firstLineChars="0" w:firstLine="0"/>
        <w:jc w:val="both"/>
        <w:rPr>
          <w:color w:val="000000" w:themeColor="text1"/>
          <w:shd w:val="clear" w:color="auto" w:fill="FFFFFF"/>
        </w:rPr>
      </w:pPr>
      <w:r w:rsidRPr="00527D76">
        <w:rPr>
          <w:rStyle w:val="fontstyle01"/>
          <w:rFonts w:ascii="Times New Roman" w:hAnsi="Times New Roman"/>
          <w:color w:val="000000" w:themeColor="text1"/>
        </w:rPr>
        <w:t xml:space="preserve">                                                     </w:t>
      </w:r>
      <w:r w:rsidRPr="00527D76">
        <w:rPr>
          <w:rStyle w:val="fontstyle01"/>
          <w:rFonts w:ascii="Cambria Math" w:hAnsi="Cambria Math" w:cs="Cambria Math"/>
          <w:color w:val="000000" w:themeColor="text1"/>
        </w:rPr>
        <w:t>𝐴</w:t>
      </w:r>
      <w:r w:rsidRPr="00527D76">
        <w:rPr>
          <w:rStyle w:val="fontstyle01"/>
          <w:rFonts w:ascii="Times New Roman" w:hAnsi="Times New Roman"/>
          <w:color w:val="000000" w:themeColor="text1"/>
        </w:rPr>
        <w:t xml:space="preserve">′ = </w:t>
      </w:r>
      <w:r w:rsidRPr="00527D76">
        <w:rPr>
          <w:color w:val="000000" w:themeColor="text1"/>
          <w:shd w:val="clear" w:color="auto" w:fill="FFFFFF"/>
        </w:rPr>
        <w:t>[</w:t>
      </w:r>
      <w:r w:rsidRPr="00527D76">
        <w:rPr>
          <w:rFonts w:ascii="Cambria Math" w:eastAsia="Cambria Math" w:hAnsi="Cambria Math" w:cs="Cambria Math"/>
          <w:color w:val="000000" w:themeColor="text1"/>
          <w:position w:val="1"/>
        </w:rPr>
        <w:t>𝑎</w:t>
      </w:r>
      <w:r w:rsidRPr="00527D76">
        <w:rPr>
          <w:rFonts w:eastAsia="Cambria Math"/>
          <w:color w:val="000000" w:themeColor="text1"/>
          <w:position w:val="1"/>
        </w:rPr>
        <w:t>’</w:t>
      </w:r>
      <w:r w:rsidRPr="00527D76">
        <w:rPr>
          <w:rFonts w:ascii="Cambria Math" w:eastAsia="Cambria Math" w:hAnsi="Cambria Math" w:cs="Cambria Math"/>
          <w:color w:val="000000" w:themeColor="text1"/>
          <w:position w:val="1"/>
          <w:vertAlign w:val="subscript"/>
        </w:rPr>
        <w:t>𝑖</w:t>
      </w:r>
      <w:r w:rsidRPr="00527D76">
        <w:rPr>
          <w:rFonts w:eastAsia="Cambria Math"/>
          <w:color w:val="000000" w:themeColor="text1"/>
          <w:position w:val="1"/>
          <w:vertAlign w:val="subscript"/>
        </w:rPr>
        <w:t>j</w:t>
      </w:r>
      <w:r w:rsidRPr="00527D76">
        <w:rPr>
          <w:color w:val="000000" w:themeColor="text1"/>
          <w:shd w:val="clear" w:color="auto" w:fill="FFFFFF"/>
        </w:rPr>
        <w:t xml:space="preserve">]                                                                          </w:t>
      </w:r>
      <w:proofErr w:type="gramStart"/>
      <w:r w:rsidRPr="00527D76">
        <w:rPr>
          <w:color w:val="000000" w:themeColor="text1"/>
          <w:shd w:val="clear" w:color="auto" w:fill="FFFFFF"/>
        </w:rPr>
        <w:t xml:space="preserve">   (</w:t>
      </w:r>
      <w:proofErr w:type="gramEnd"/>
      <w:r w:rsidRPr="00527D76">
        <w:rPr>
          <w:color w:val="000000" w:themeColor="text1"/>
          <w:shd w:val="clear" w:color="auto" w:fill="FFFFFF"/>
        </w:rPr>
        <w:t>2)</w:t>
      </w:r>
    </w:p>
    <w:p w14:paraId="6946890F" w14:textId="77777777" w:rsidR="00130A0D" w:rsidRPr="00527D76" w:rsidRDefault="00130A0D" w:rsidP="00130A0D">
      <w:pPr>
        <w:spacing w:line="360" w:lineRule="auto"/>
        <w:ind w:leftChars="0" w:left="0" w:firstLineChars="0" w:firstLine="0"/>
        <w:jc w:val="both"/>
        <w:rPr>
          <w:color w:val="000000" w:themeColor="text1"/>
        </w:rPr>
      </w:pPr>
      <w:r w:rsidRPr="00527D76">
        <w:rPr>
          <w:rStyle w:val="fontstyle21"/>
          <w:b w:val="0"/>
          <w:color w:val="000000" w:themeColor="text1"/>
          <w:sz w:val="24"/>
          <w:szCs w:val="24"/>
        </w:rPr>
        <w:t>Onde</w:t>
      </w:r>
      <w:r w:rsidRPr="00527D76">
        <w:rPr>
          <w:rStyle w:val="fontstyle21"/>
          <w:color w:val="000000" w:themeColor="text1"/>
          <w:sz w:val="24"/>
          <w:szCs w:val="24"/>
        </w:rPr>
        <w:t xml:space="preserve"> </w:t>
      </w:r>
      <w:r w:rsidRPr="00527D76">
        <w:rPr>
          <w:rFonts w:ascii="Cambria Math" w:eastAsia="Cambria Math" w:hAnsi="Cambria Math" w:cs="Cambria Math"/>
          <w:color w:val="000000" w:themeColor="text1"/>
          <w:position w:val="1"/>
        </w:rPr>
        <w:t>𝑎</w:t>
      </w:r>
      <w:r w:rsidRPr="00527D76">
        <w:rPr>
          <w:rFonts w:eastAsia="Cambria Math"/>
          <w:color w:val="000000" w:themeColor="text1"/>
          <w:position w:val="1"/>
        </w:rPr>
        <w:t>’</w:t>
      </w:r>
      <w:r w:rsidRPr="00527D76">
        <w:rPr>
          <w:rFonts w:ascii="Cambria Math" w:eastAsia="Cambria Math" w:hAnsi="Cambria Math" w:cs="Cambria Math"/>
          <w:color w:val="000000" w:themeColor="text1"/>
          <w:position w:val="1"/>
          <w:vertAlign w:val="subscript"/>
        </w:rPr>
        <w:t>𝑖</w:t>
      </w:r>
      <w:r w:rsidRPr="00527D76">
        <w:rPr>
          <w:rFonts w:eastAsia="Cambria Math"/>
          <w:color w:val="000000" w:themeColor="text1"/>
          <w:position w:val="1"/>
          <w:vertAlign w:val="subscript"/>
        </w:rPr>
        <w:t xml:space="preserve">j </w:t>
      </w:r>
      <w:r w:rsidRPr="00527D76">
        <w:rPr>
          <w:rStyle w:val="fontstyle01"/>
          <w:rFonts w:ascii="Times New Roman" w:hAnsi="Times New Roman"/>
          <w:color w:val="000000" w:themeColor="text1"/>
        </w:rPr>
        <w:t>=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/>
                <w:color w:val="000000" w:themeColor="text1"/>
                <w:position w:val="1"/>
              </w:rPr>
              <m:t>a’</m:t>
            </m:r>
            <m:r>
              <m:rPr>
                <m:sty m:val="p"/>
              </m:rPr>
              <w:rPr>
                <w:rFonts w:ascii="Cambria Math" w:eastAsia="Cambria Math" w:hAnsi="Cambria Math"/>
                <w:color w:val="000000" w:themeColor="text1"/>
                <w:position w:val="1"/>
                <w:vertAlign w:val="subscript"/>
              </w:rPr>
              <m:t>ij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naryPr>
              <m:sub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k</m:t>
                </m:r>
              </m:sub>
              <m:sup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n</m:t>
                </m:r>
              </m:sup>
              <m:e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=1</m:t>
                </m:r>
              </m:e>
            </m:nary>
          </m:den>
        </m:f>
      </m:oMath>
      <w:r w:rsidRPr="00527D76">
        <w:rPr>
          <w:rStyle w:val="fontstyle01"/>
          <w:rFonts w:ascii="Times New Roman" w:eastAsiaTheme="minorEastAsia" w:hAnsi="Times New Roman"/>
          <w:color w:val="000000" w:themeColor="text1"/>
        </w:rPr>
        <w:t xml:space="preserve"> </w:t>
      </w:r>
      <w:r w:rsidRPr="00527D76">
        <w:rPr>
          <w:rFonts w:ascii="Cambria Math" w:eastAsia="Cambria Math" w:hAnsi="Cambria Math" w:cs="Cambria Math"/>
          <w:color w:val="000000" w:themeColor="text1"/>
          <w:position w:val="1"/>
        </w:rPr>
        <w:t>𝑎</w:t>
      </w:r>
      <w:r w:rsidRPr="00527D76">
        <w:rPr>
          <w:rFonts w:ascii="Cambria Math" w:eastAsia="Cambria Math" w:hAnsi="Cambria Math" w:cs="Cambria Math"/>
          <w:color w:val="000000" w:themeColor="text1"/>
          <w:position w:val="1"/>
          <w:vertAlign w:val="subscript"/>
        </w:rPr>
        <w:t>𝑖</w:t>
      </w:r>
      <w:r w:rsidRPr="00527D76">
        <w:rPr>
          <w:rFonts w:eastAsia="Cambria Math"/>
          <w:color w:val="000000" w:themeColor="text1"/>
          <w:position w:val="1"/>
          <w:vertAlign w:val="subscript"/>
        </w:rPr>
        <w:t>k’</w:t>
      </w:r>
      <w:r w:rsidRPr="00527D76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Pr="00527D76">
        <w:rPr>
          <w:rStyle w:val="fontstyle21"/>
          <w:color w:val="000000" w:themeColor="text1"/>
          <w:sz w:val="24"/>
          <w:szCs w:val="24"/>
        </w:rPr>
        <w:t xml:space="preserve">, </w:t>
      </w:r>
      <w:r w:rsidRPr="00527D76">
        <w:rPr>
          <w:rStyle w:val="fontstyle21"/>
          <w:b w:val="0"/>
          <w:color w:val="000000" w:themeColor="text1"/>
          <w:sz w:val="24"/>
          <w:szCs w:val="24"/>
        </w:rPr>
        <w:t>para quaisquer i e j inteiros de</w:t>
      </w:r>
      <w:r w:rsidRPr="00527D76">
        <w:rPr>
          <w:rStyle w:val="fontstyle21"/>
          <w:color w:val="000000" w:themeColor="text1"/>
          <w:sz w:val="24"/>
          <w:szCs w:val="24"/>
        </w:rPr>
        <w:t xml:space="preserve"> </w:t>
      </w:r>
      <w:r w:rsidRPr="00527D76">
        <w:rPr>
          <w:rStyle w:val="fontstyle01"/>
          <w:rFonts w:ascii="Times New Roman" w:hAnsi="Times New Roman"/>
          <w:color w:val="000000" w:themeColor="text1"/>
        </w:rPr>
        <w:t xml:space="preserve">1 ≤ i ≤ n </w:t>
      </w:r>
      <w:r w:rsidRPr="00527D76">
        <w:rPr>
          <w:rStyle w:val="fontstyle21"/>
          <w:color w:val="000000" w:themeColor="text1"/>
          <w:sz w:val="24"/>
          <w:szCs w:val="24"/>
        </w:rPr>
        <w:t xml:space="preserve">e </w:t>
      </w:r>
      <w:r w:rsidRPr="00527D76">
        <w:rPr>
          <w:rStyle w:val="fontstyle01"/>
          <w:rFonts w:ascii="Times New Roman" w:hAnsi="Times New Roman"/>
          <w:color w:val="000000" w:themeColor="text1"/>
        </w:rPr>
        <w:t>1 ≤ j ≤ n</w:t>
      </w:r>
      <w:r w:rsidRPr="00527D76">
        <w:rPr>
          <w:rStyle w:val="fontstyle21"/>
          <w:color w:val="000000" w:themeColor="text1"/>
          <w:sz w:val="24"/>
          <w:szCs w:val="24"/>
        </w:rPr>
        <w:t>.</w:t>
      </w:r>
      <w:r w:rsidRPr="00527D76">
        <w:rPr>
          <w:color w:val="000000" w:themeColor="text1"/>
        </w:rPr>
        <w:t xml:space="preserve"> </w:t>
      </w:r>
    </w:p>
    <w:p w14:paraId="5733EC53" w14:textId="77777777" w:rsidR="00130A0D" w:rsidRDefault="00130A0D" w:rsidP="00130A0D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27F2D2D4" w14:textId="176000D6" w:rsidR="00130A0D" w:rsidRPr="00527D76" w:rsidRDefault="00130A0D" w:rsidP="00130A0D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 w:rsidRPr="00527D76">
        <w:rPr>
          <w:color w:val="000000" w:themeColor="text1"/>
        </w:rPr>
        <w:t xml:space="preserve">O conjunto de pesos, também, conhecido como vetor de prioridades, é derivado das matrizes de comparações paritárias. Posteriormente, é realizado o cálculo do </w:t>
      </w:r>
      <w:proofErr w:type="spellStart"/>
      <w:r w:rsidR="00B618AC">
        <w:rPr>
          <w:color w:val="000000" w:themeColor="text1"/>
        </w:rPr>
        <w:t>auto</w:t>
      </w:r>
      <w:r w:rsidR="00B618AC" w:rsidRPr="00527D76">
        <w:rPr>
          <w:color w:val="000000" w:themeColor="text1"/>
        </w:rPr>
        <w:t>vetor</w:t>
      </w:r>
      <w:proofErr w:type="spellEnd"/>
      <w:r w:rsidRPr="00527D76">
        <w:rPr>
          <w:color w:val="000000" w:themeColor="text1"/>
        </w:rPr>
        <w:t xml:space="preserve"> normalizado correspondente ao autovalor máximo da matriz, calculando-se as médias geométricas de cada uma das linhas da matriz normalizada </w:t>
      </w:r>
      <w:r w:rsidRPr="00527D76">
        <w:rPr>
          <w:rFonts w:ascii="Cambria Math" w:hAnsi="Cambria Math" w:cs="Cambria Math"/>
          <w:color w:val="000000" w:themeColor="text1"/>
        </w:rPr>
        <w:t>𝐴</w:t>
      </w:r>
      <w:r w:rsidRPr="00527D76">
        <w:rPr>
          <w:color w:val="000000" w:themeColor="text1"/>
        </w:rPr>
        <w:t>′, gerando os elementos (</w:t>
      </w:r>
      <w:r w:rsidRPr="00527D76">
        <w:rPr>
          <w:rFonts w:ascii="Cambria Math" w:hAnsi="Cambria Math" w:cs="Cambria Math"/>
          <w:color w:val="000000" w:themeColor="text1"/>
        </w:rPr>
        <w:t>𝐴</w:t>
      </w:r>
      <w:r w:rsidRPr="00527D76">
        <w:rPr>
          <w:color w:val="000000" w:themeColor="text1"/>
        </w:rPr>
        <w:t xml:space="preserve"> - </w:t>
      </w:r>
      <w:r w:rsidRPr="00527D76">
        <w:rPr>
          <w:rFonts w:ascii="Cambria Math" w:hAnsi="Cambria Math" w:cs="Cambria Math"/>
          <w:color w:val="000000" w:themeColor="text1"/>
        </w:rPr>
        <w:t>𝑣</w:t>
      </w:r>
      <w:r w:rsidRPr="00527D76">
        <w:rPr>
          <w:color w:val="000000" w:themeColor="text1"/>
        </w:rPr>
        <w:t xml:space="preserve">etor) denominado de </w:t>
      </w:r>
      <w:proofErr w:type="spellStart"/>
      <w:r w:rsidRPr="00527D76">
        <w:rPr>
          <w:color w:val="000000" w:themeColor="text1"/>
        </w:rPr>
        <w:t>autovetor</w:t>
      </w:r>
      <w:proofErr w:type="spellEnd"/>
      <w:r w:rsidRPr="00527D76">
        <w:rPr>
          <w:color w:val="000000" w:themeColor="text1"/>
        </w:rPr>
        <w:t xml:space="preserve"> Eq. 3:</w:t>
      </w:r>
    </w:p>
    <w:p w14:paraId="298ECC75" w14:textId="77777777" w:rsidR="00130A0D" w:rsidRPr="00527D76" w:rsidRDefault="00130A0D" w:rsidP="00130A0D">
      <w:pPr>
        <w:spacing w:line="240" w:lineRule="auto"/>
        <w:ind w:leftChars="0" w:left="0" w:firstLineChars="0" w:firstLine="0"/>
        <w:jc w:val="right"/>
        <w:rPr>
          <w:color w:val="000000" w:themeColor="text1"/>
          <w:shd w:val="clear" w:color="auto" w:fill="FFFFFF"/>
        </w:rPr>
      </w:pPr>
      <w:r w:rsidRPr="00527D76">
        <w:rPr>
          <w:rFonts w:ascii="Cambria Math" w:hAnsi="Cambria Math" w:cs="Cambria Math"/>
          <w:color w:val="000000" w:themeColor="text1"/>
        </w:rPr>
        <w:t>𝐴</w:t>
      </w:r>
      <w:r w:rsidRPr="00527D76">
        <w:rPr>
          <w:color w:val="000000" w:themeColor="text1"/>
        </w:rPr>
        <w:t xml:space="preserve"> - </w:t>
      </w:r>
      <w:r w:rsidRPr="00527D76">
        <w:rPr>
          <w:rFonts w:ascii="Cambria Math" w:hAnsi="Cambria Math" w:cs="Cambria Math"/>
          <w:color w:val="000000" w:themeColor="text1"/>
        </w:rPr>
        <w:t>𝑣</w:t>
      </w:r>
      <w:r w:rsidRPr="00527D76">
        <w:rPr>
          <w:color w:val="000000" w:themeColor="text1"/>
        </w:rPr>
        <w:t>etor = [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𝑤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  <w:vertAlign w:val="subscript"/>
        </w:rPr>
        <w:t>𝑖</w:t>
      </w:r>
      <w:r w:rsidRPr="00527D76">
        <w:rPr>
          <w:color w:val="000000" w:themeColor="text1"/>
        </w:rPr>
        <w:t xml:space="preserve">]                                                                 </w:t>
      </w:r>
      <w:proofErr w:type="gramStart"/>
      <w:r w:rsidRPr="00527D76">
        <w:rPr>
          <w:color w:val="000000" w:themeColor="text1"/>
        </w:rPr>
        <w:t xml:space="preserve">   </w:t>
      </w:r>
      <w:r w:rsidRPr="00527D76">
        <w:rPr>
          <w:color w:val="000000" w:themeColor="text1"/>
          <w:shd w:val="clear" w:color="auto" w:fill="FFFFFF"/>
        </w:rPr>
        <w:t>(</w:t>
      </w:r>
      <w:proofErr w:type="gramEnd"/>
      <w:r w:rsidRPr="00527D76">
        <w:rPr>
          <w:color w:val="000000" w:themeColor="text1"/>
          <w:shd w:val="clear" w:color="auto" w:fill="FFFFFF"/>
        </w:rPr>
        <w:t>3)</w:t>
      </w:r>
    </w:p>
    <w:p w14:paraId="66467C3E" w14:textId="77777777" w:rsidR="00130A0D" w:rsidRPr="00527D76" w:rsidRDefault="00130A0D" w:rsidP="00130A0D">
      <w:pPr>
        <w:spacing w:line="36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</w:p>
    <w:p w14:paraId="4AE0FB20" w14:textId="035DF71A" w:rsidR="00B618AC" w:rsidRDefault="00130A0D" w:rsidP="00130A0D">
      <w:pPr>
        <w:spacing w:line="36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  <w:r w:rsidRPr="00527D76">
        <w:rPr>
          <w:rStyle w:val="fontstyle01"/>
          <w:rFonts w:ascii="Times New Roman" w:hAnsi="Times New Roman"/>
          <w:color w:val="000000" w:themeColor="text1"/>
        </w:rPr>
        <w:t xml:space="preserve">Onde 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𝑤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  <w:vertAlign w:val="subscript"/>
        </w:rPr>
        <w:t>𝑖</w:t>
      </w:r>
      <w:r w:rsidRPr="00527D76">
        <w:rPr>
          <w:rStyle w:val="fontstyle21"/>
          <w:color w:val="000000" w:themeColor="text1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en-US"/>
              </w:rPr>
            </m:ctrlPr>
          </m:sSupPr>
          <m:e>
            <m:r>
              <m:rPr>
                <m:sty m:val="p"/>
              </m:rPr>
              <w:rPr>
                <w:rStyle w:val="fontstyle21"/>
                <w:rFonts w:ascii="Cambria Math" w:hAnsi="Cambria Math"/>
                <w:color w:val="000000" w:themeColor="text1"/>
                <w:sz w:val="24"/>
                <w:szCs w:val="24"/>
              </w:rPr>
              <m:t xml:space="preserve">( </m:t>
            </m:r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naryPr>
              <m:sub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</m:sup>
              <m:e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=1</m:t>
                </m:r>
              </m:e>
            </m:nary>
            <m:r>
              <w:rPr>
                <w:rStyle w:val="fontstyle21"/>
                <w:rFonts w:ascii="Cambria Math" w:hAnsi="Cambria Math"/>
                <w:color w:val="000000" w:themeColor="text1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mbria Math" w:hAnsi="Cambria Math"/>
                <w:color w:val="000000" w:themeColor="text1"/>
                <w:position w:val="1"/>
              </w:rPr>
              <m:t>a’</m:t>
            </m:r>
            <m:r>
              <m:rPr>
                <m:sty m:val="p"/>
              </m:rPr>
              <w:rPr>
                <w:rFonts w:ascii="Cambria Math" w:eastAsia="Cambria Math" w:hAnsi="Cambria Math"/>
                <w:color w:val="000000" w:themeColor="text1"/>
                <w:position w:val="1"/>
                <w:vertAlign w:val="subscript"/>
              </w:rPr>
              <m:t>ij</m:t>
            </m:r>
            <m:r>
              <m:rPr>
                <m:sty m:val="p"/>
              </m:rPr>
              <w:rPr>
                <w:rStyle w:val="fontstyle21"/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e>
          <m:sup>
            <m:r>
              <w:rPr>
                <w:rStyle w:val="fontstyle21"/>
                <w:rFonts w:ascii="Cambria Math" w:hAnsi="Cambria Math"/>
                <w:color w:val="000000" w:themeColor="text1"/>
                <w:sz w:val="24"/>
                <w:szCs w:val="24"/>
              </w:rPr>
              <m:t>1/n</m:t>
            </m:r>
          </m:sup>
        </m:sSup>
      </m:oMath>
      <w:r w:rsidRPr="00527D76">
        <w:rPr>
          <w:rStyle w:val="fontstyle01"/>
          <w:rFonts w:ascii="Times New Roman" w:hAnsi="Times New Roman"/>
          <w:color w:val="000000" w:themeColor="text1"/>
        </w:rPr>
        <w:t xml:space="preserve">, para qualquer i inteiro de </w:t>
      </w:r>
      <w:r w:rsidRPr="00527D76">
        <w:rPr>
          <w:rStyle w:val="fontstyle21"/>
          <w:b w:val="0"/>
          <w:color w:val="000000" w:themeColor="text1"/>
          <w:sz w:val="24"/>
          <w:szCs w:val="24"/>
        </w:rPr>
        <w:t>1 ≤ i ≤ n</w:t>
      </w:r>
      <w:r w:rsidRPr="00527D76">
        <w:rPr>
          <w:rStyle w:val="fontstyle01"/>
          <w:rFonts w:ascii="Times New Roman" w:hAnsi="Times New Roman"/>
          <w:color w:val="000000" w:themeColor="text1"/>
        </w:rPr>
        <w:t xml:space="preserve">. </w:t>
      </w:r>
    </w:p>
    <w:p w14:paraId="39194B43" w14:textId="604F0CC5" w:rsidR="00130A0D" w:rsidRPr="00527D76" w:rsidRDefault="00B618AC" w:rsidP="00B618AC">
      <w:pPr>
        <w:spacing w:line="24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  <w:r>
        <w:rPr>
          <w:rStyle w:val="fontstyle01"/>
          <w:rFonts w:ascii="Times New Roman" w:hAnsi="Times New Roman"/>
          <w:color w:val="000000" w:themeColor="text1"/>
        </w:rPr>
        <w:lastRenderedPageBreak/>
        <w:t>Logo</w:t>
      </w:r>
      <w:r w:rsidR="00130A0D" w:rsidRPr="00527D76">
        <w:rPr>
          <w:rStyle w:val="fontstyle01"/>
          <w:rFonts w:ascii="Times New Roman" w:hAnsi="Times New Roman"/>
          <w:color w:val="000000" w:themeColor="text1"/>
        </w:rPr>
        <w:t xml:space="preserve">, normaliza-se o </w:t>
      </w:r>
      <w:proofErr w:type="spellStart"/>
      <w:r w:rsidR="00130A0D" w:rsidRPr="00527D76">
        <w:rPr>
          <w:rStyle w:val="fontstyle01"/>
          <w:rFonts w:ascii="Times New Roman" w:hAnsi="Times New Roman"/>
          <w:color w:val="000000" w:themeColor="text1"/>
        </w:rPr>
        <w:t>autovetor</w:t>
      </w:r>
      <w:proofErr w:type="spellEnd"/>
      <w:r w:rsidR="00130A0D" w:rsidRPr="00527D76">
        <w:rPr>
          <w:rStyle w:val="fontstyle01"/>
          <w:rFonts w:ascii="Times New Roman" w:hAnsi="Times New Roman"/>
          <w:color w:val="000000" w:themeColor="text1"/>
        </w:rPr>
        <w:t xml:space="preserve"> </w:t>
      </w:r>
      <w:r w:rsidR="00130A0D" w:rsidRPr="00527D76">
        <w:rPr>
          <w:color w:val="000000" w:themeColor="text1"/>
        </w:rPr>
        <w:t>(</w:t>
      </w:r>
      <w:r w:rsidR="00130A0D" w:rsidRPr="00527D76">
        <w:rPr>
          <w:rFonts w:ascii="Cambria Math" w:hAnsi="Cambria Math" w:cs="Cambria Math"/>
          <w:color w:val="000000" w:themeColor="text1"/>
        </w:rPr>
        <w:t>𝐴</w:t>
      </w:r>
      <w:r w:rsidR="00130A0D" w:rsidRPr="00527D76">
        <w:rPr>
          <w:color w:val="000000" w:themeColor="text1"/>
        </w:rPr>
        <w:t xml:space="preserve"> - </w:t>
      </w:r>
      <w:r w:rsidR="00130A0D" w:rsidRPr="00527D76">
        <w:rPr>
          <w:rFonts w:ascii="Cambria Math" w:hAnsi="Cambria Math" w:cs="Cambria Math"/>
          <w:color w:val="000000" w:themeColor="text1"/>
        </w:rPr>
        <w:t>𝑣</w:t>
      </w:r>
      <w:r w:rsidR="00130A0D" w:rsidRPr="00527D76">
        <w:rPr>
          <w:color w:val="000000" w:themeColor="text1"/>
        </w:rPr>
        <w:t>etor)</w:t>
      </w:r>
      <w:r w:rsidR="00130A0D" w:rsidRPr="00527D76">
        <w:rPr>
          <w:rStyle w:val="fontstyle01"/>
          <w:rFonts w:ascii="Times New Roman" w:hAnsi="Times New Roman"/>
          <w:color w:val="000000" w:themeColor="text1"/>
        </w:rPr>
        <w:t xml:space="preserve">, obtendo-se o </w:t>
      </w:r>
      <w:proofErr w:type="spellStart"/>
      <w:r w:rsidR="00130A0D" w:rsidRPr="00527D76">
        <w:rPr>
          <w:rStyle w:val="fontstyle01"/>
          <w:rFonts w:ascii="Times New Roman" w:hAnsi="Times New Roman"/>
          <w:color w:val="000000" w:themeColor="text1"/>
        </w:rPr>
        <w:t>autovetor</w:t>
      </w:r>
      <w:proofErr w:type="spellEnd"/>
      <w:r w:rsidR="00130A0D" w:rsidRPr="00527D76">
        <w:rPr>
          <w:rStyle w:val="fontstyle01"/>
          <w:rFonts w:ascii="Times New Roman" w:hAnsi="Times New Roman"/>
          <w:color w:val="000000" w:themeColor="text1"/>
        </w:rPr>
        <w:t xml:space="preserve"> normalizado </w:t>
      </w:r>
      <w:r w:rsidR="00130A0D" w:rsidRPr="00527D76">
        <w:rPr>
          <w:rStyle w:val="fontstyle21"/>
          <w:color w:val="000000" w:themeColor="text1"/>
          <w:sz w:val="24"/>
          <w:szCs w:val="24"/>
        </w:rPr>
        <w:t>(</w:t>
      </w:r>
      <w:r w:rsidR="00130A0D"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𝐴</w:t>
      </w:r>
      <w:r w:rsidR="00130A0D" w:rsidRPr="00527D76">
        <w:rPr>
          <w:rStyle w:val="fontstyle21"/>
          <w:b w:val="0"/>
          <w:color w:val="000000" w:themeColor="text1"/>
          <w:sz w:val="24"/>
          <w:szCs w:val="24"/>
        </w:rPr>
        <w:t xml:space="preserve"> – </w:t>
      </w:r>
      <w:r w:rsidR="00130A0D"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𝑁</w:t>
      </w:r>
      <w:proofErr w:type="spellStart"/>
      <w:r w:rsidR="00130A0D" w:rsidRPr="00527D76">
        <w:rPr>
          <w:rStyle w:val="fontstyle21"/>
          <w:b w:val="0"/>
          <w:color w:val="000000" w:themeColor="text1"/>
          <w:sz w:val="24"/>
          <w:szCs w:val="24"/>
        </w:rPr>
        <w:t>orm</w:t>
      </w:r>
      <w:proofErr w:type="spellEnd"/>
      <w:r w:rsidR="00130A0D" w:rsidRPr="00527D76">
        <w:rPr>
          <w:rStyle w:val="fontstyle21"/>
          <w:color w:val="000000" w:themeColor="text1"/>
          <w:sz w:val="24"/>
          <w:szCs w:val="24"/>
        </w:rPr>
        <w:t>)</w:t>
      </w:r>
      <w:r w:rsidR="00E601E8">
        <w:rPr>
          <w:color w:val="000000" w:themeColor="text1"/>
        </w:rPr>
        <w:t xml:space="preserve"> </w:t>
      </w:r>
      <w:r w:rsidR="00130A0D" w:rsidRPr="00527D76">
        <w:rPr>
          <w:color w:val="000000" w:themeColor="text1"/>
        </w:rPr>
        <w:t>Eq. 4</w:t>
      </w:r>
      <w:r w:rsidR="00130A0D" w:rsidRPr="00527D76">
        <w:rPr>
          <w:rStyle w:val="fontstyle01"/>
          <w:rFonts w:ascii="Times New Roman" w:hAnsi="Times New Roman"/>
          <w:color w:val="000000" w:themeColor="text1"/>
        </w:rPr>
        <w:t>,</w:t>
      </w:r>
      <w:r w:rsidR="00130A0D" w:rsidRPr="00527D76">
        <w:rPr>
          <w:color w:val="000000" w:themeColor="text1"/>
        </w:rPr>
        <w:t xml:space="preserve"> </w:t>
      </w:r>
      <w:r w:rsidR="00130A0D" w:rsidRPr="00527D76">
        <w:rPr>
          <w:rStyle w:val="fontstyle01"/>
          <w:rFonts w:ascii="Times New Roman" w:hAnsi="Times New Roman"/>
          <w:color w:val="000000" w:themeColor="text1"/>
        </w:rPr>
        <w:t>cujos elementos são os pesos médios de cada indicador:</w:t>
      </w:r>
    </w:p>
    <w:p w14:paraId="1A692308" w14:textId="77777777" w:rsidR="00130A0D" w:rsidRPr="00527D76" w:rsidRDefault="00130A0D" w:rsidP="00B618AC">
      <w:pPr>
        <w:spacing w:line="24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</w:p>
    <w:p w14:paraId="4E71ADA4" w14:textId="77777777" w:rsidR="00130A0D" w:rsidRPr="00527D76" w:rsidRDefault="00130A0D" w:rsidP="00B618AC">
      <w:pPr>
        <w:tabs>
          <w:tab w:val="left" w:pos="3402"/>
        </w:tabs>
        <w:spacing w:line="240" w:lineRule="auto"/>
        <w:ind w:leftChars="0" w:left="0" w:firstLineChars="0" w:firstLine="0"/>
        <w:jc w:val="right"/>
        <w:rPr>
          <w:color w:val="000000" w:themeColor="text1"/>
          <w:shd w:val="clear" w:color="auto" w:fill="FFFFFF"/>
        </w:rPr>
      </w:pPr>
      <w:r w:rsidRPr="00527D76">
        <w:rPr>
          <w:rFonts w:ascii="Cambria Math" w:hAnsi="Cambria Math" w:cs="Cambria Math"/>
          <w:color w:val="000000" w:themeColor="text1"/>
        </w:rPr>
        <w:t>𝐴</w:t>
      </w:r>
      <w:r w:rsidRPr="00527D76">
        <w:rPr>
          <w:color w:val="000000" w:themeColor="text1"/>
        </w:rPr>
        <w:t xml:space="preserve"> - Norm = [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𝑤</w:t>
      </w:r>
      <w:r w:rsidRPr="00527D76">
        <w:rPr>
          <w:rStyle w:val="fontstyle21"/>
          <w:b w:val="0"/>
          <w:color w:val="000000" w:themeColor="text1"/>
          <w:sz w:val="24"/>
          <w:szCs w:val="24"/>
        </w:rPr>
        <w:t>’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  <w:vertAlign w:val="subscript"/>
        </w:rPr>
        <w:t>𝑖</w:t>
      </w:r>
      <w:r w:rsidRPr="00527D76">
        <w:rPr>
          <w:color w:val="000000" w:themeColor="text1"/>
        </w:rPr>
        <w:t xml:space="preserve">]                                                             </w:t>
      </w:r>
      <w:proofErr w:type="gramStart"/>
      <w:r w:rsidRPr="00527D76">
        <w:rPr>
          <w:color w:val="000000" w:themeColor="text1"/>
        </w:rPr>
        <w:t xml:space="preserve">   </w:t>
      </w:r>
      <w:r w:rsidRPr="00527D76">
        <w:rPr>
          <w:color w:val="000000" w:themeColor="text1"/>
          <w:shd w:val="clear" w:color="auto" w:fill="FFFFFF"/>
        </w:rPr>
        <w:t>(</w:t>
      </w:r>
      <w:proofErr w:type="gramEnd"/>
      <w:r w:rsidRPr="00527D76">
        <w:rPr>
          <w:color w:val="000000" w:themeColor="text1"/>
          <w:shd w:val="clear" w:color="auto" w:fill="FFFFFF"/>
        </w:rPr>
        <w:t>4)</w:t>
      </w:r>
    </w:p>
    <w:p w14:paraId="7A1F4E35" w14:textId="77777777" w:rsidR="00130A0D" w:rsidRPr="00527D76" w:rsidRDefault="00130A0D" w:rsidP="00130A0D">
      <w:pPr>
        <w:tabs>
          <w:tab w:val="left" w:pos="3402"/>
        </w:tabs>
        <w:spacing w:line="240" w:lineRule="auto"/>
        <w:ind w:leftChars="0" w:left="0" w:firstLineChars="0" w:firstLine="0"/>
        <w:jc w:val="both"/>
      </w:pPr>
    </w:p>
    <w:p w14:paraId="1E083B18" w14:textId="77777777" w:rsidR="00130A0D" w:rsidRPr="00527D76" w:rsidRDefault="00130A0D" w:rsidP="00130A0D">
      <w:pPr>
        <w:spacing w:line="360" w:lineRule="auto"/>
        <w:ind w:leftChars="0" w:left="0" w:firstLineChars="0" w:firstLine="0"/>
        <w:jc w:val="both"/>
        <w:rPr>
          <w:color w:val="000000" w:themeColor="text1"/>
        </w:rPr>
      </w:pPr>
      <w:r w:rsidRPr="00527D76">
        <w:rPr>
          <w:rStyle w:val="fontstyle21"/>
          <w:b w:val="0"/>
          <w:color w:val="000000" w:themeColor="text1"/>
          <w:sz w:val="24"/>
          <w:szCs w:val="24"/>
        </w:rPr>
        <w:t xml:space="preserve">Onde 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𝑤</w:t>
      </w:r>
      <w:r w:rsidRPr="00527D76">
        <w:rPr>
          <w:rStyle w:val="fontstyle21"/>
          <w:b w:val="0"/>
          <w:color w:val="000000" w:themeColor="text1"/>
          <w:sz w:val="24"/>
          <w:szCs w:val="24"/>
        </w:rPr>
        <w:t>’</w:t>
      </w:r>
      <w:r w:rsidRPr="00527D76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  <w:vertAlign w:val="subscript"/>
        </w:rPr>
        <w:t>𝑖</w:t>
      </w:r>
      <w:r w:rsidRPr="00527D76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( </m:t>
                </m:r>
                <m:nary>
                  <m:naryPr>
                    <m:chr m:val="∏"/>
                    <m:limLoc m:val="subSup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en-US"/>
                      </w:rPr>
                    </m:ctrlPr>
                  </m:naryPr>
                  <m:sub>
                    <m:r>
                      <w:rPr>
                        <w:rStyle w:val="fontstyle21"/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Style w:val="fontstyle21"/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sup>
                  <m:e>
                    <m:r>
                      <w:rPr>
                        <w:rStyle w:val="fontstyle21"/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=1</m:t>
                    </m:r>
                  </m:e>
                </m:nary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position w:val="1"/>
                  </w:rPr>
                  <m:t>a’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position w:val="1"/>
                    <w:vertAlign w:val="subscript"/>
                  </w:rPr>
                  <m:t>ij</m:t>
                </m:r>
                <m:r>
                  <m:rPr>
                    <m:sty m:val="p"/>
                  </m:rP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1/n</m:t>
                </m:r>
              </m:sup>
            </m:sSup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naryPr>
              <m:sub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k</m:t>
                </m:r>
              </m:sub>
              <m:sup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n</m:t>
                </m:r>
              </m:sup>
              <m:e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=1</m:t>
                </m:r>
              </m:e>
            </m:nary>
            <m:r>
              <w:rPr>
                <w:rStyle w:val="fontstyle01"/>
                <w:rFonts w:ascii="Cambria Math" w:hAnsi="Cambria Math"/>
                <w:color w:val="000000" w:themeColor="text1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( </m:t>
                </m:r>
                <m:nary>
                  <m:naryPr>
                    <m:chr m:val="∏"/>
                    <m:limLoc m:val="subSup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en-US"/>
                      </w:rPr>
                    </m:ctrlPr>
                  </m:naryPr>
                  <m:sub>
                    <m:r>
                      <w:rPr>
                        <w:rStyle w:val="fontstyle21"/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Style w:val="fontstyle21"/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n</m:t>
                    </m:r>
                  </m:sup>
                  <m:e>
                    <m:r>
                      <w:rPr>
                        <w:rStyle w:val="fontstyle21"/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=1</m:t>
                    </m:r>
                  </m:e>
                </m:nary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position w:val="1"/>
                  </w:rPr>
                  <m:t>a’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position w:val="1"/>
                    <w:vertAlign w:val="subscript"/>
                  </w:rPr>
                  <m:t>ij</m:t>
                </m:r>
                <m:r>
                  <m:rPr>
                    <m:sty m:val="p"/>
                  </m:rP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Style w:val="fontstyle21"/>
                    <w:rFonts w:ascii="Cambria Math" w:hAnsi="Cambria Math"/>
                    <w:color w:val="000000" w:themeColor="text1"/>
                    <w:sz w:val="24"/>
                    <w:szCs w:val="24"/>
                  </w:rPr>
                  <m:t>1/n</m:t>
                </m:r>
              </m:sup>
            </m:sSup>
          </m:den>
        </m:f>
      </m:oMath>
      <w:r w:rsidRPr="00527D76">
        <w:rPr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Style w:val="fontstyle21"/>
                <w:rFonts w:ascii="Cambria Math" w:hAnsi="Cambria Math"/>
                <w:color w:val="000000" w:themeColor="text1"/>
                <w:sz w:val="24"/>
                <w:szCs w:val="24"/>
              </w:rPr>
              <m:t>W</m:t>
            </m:r>
            <m:r>
              <m:rPr>
                <m:sty m:val="p"/>
              </m:rPr>
              <w:rPr>
                <w:rStyle w:val="fontstyle21"/>
                <w:rFonts w:ascii="Cambria Math" w:hAnsi="Cambria Math"/>
                <w:color w:val="000000" w:themeColor="text1"/>
                <w:sz w:val="24"/>
                <w:szCs w:val="24"/>
                <w:vertAlign w:val="subscript"/>
              </w:rPr>
              <m:t>i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naryPr>
              <m:sub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k</m:t>
                </m:r>
              </m:sub>
              <m:sup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n</m:t>
                </m:r>
              </m:sup>
              <m:e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=1 Wi"</m:t>
                </m:r>
              </m:e>
            </m:nary>
            <m:r>
              <w:rPr>
                <w:rStyle w:val="fontstyle01"/>
                <w:rFonts w:ascii="Cambria Math" w:hAnsi="Cambria Math"/>
                <w:color w:val="000000" w:themeColor="text1"/>
              </w:rPr>
              <m:t xml:space="preserve"> </m:t>
            </m:r>
          </m:den>
        </m:f>
      </m:oMath>
      <w:r w:rsidRPr="00527D76">
        <w:rPr>
          <w:color w:val="000000" w:themeColor="text1"/>
        </w:rPr>
        <w:t xml:space="preserve"> , </w:t>
      </w:r>
      <w:r w:rsidRPr="00527D76">
        <w:rPr>
          <w:rStyle w:val="fontstyle01"/>
          <w:rFonts w:ascii="Times New Roman" w:hAnsi="Times New Roman"/>
          <w:color w:val="000000" w:themeColor="text1"/>
        </w:rPr>
        <w:t xml:space="preserve">para qualquer i inteiro de </w:t>
      </w:r>
      <w:r w:rsidRPr="00527D76">
        <w:rPr>
          <w:rStyle w:val="fontstyle21"/>
          <w:b w:val="0"/>
          <w:color w:val="000000" w:themeColor="text1"/>
          <w:sz w:val="24"/>
          <w:szCs w:val="24"/>
        </w:rPr>
        <w:t>1 ≤ i ≤ n.</w:t>
      </w:r>
    </w:p>
    <w:p w14:paraId="43F810DB" w14:textId="0D44ADDB" w:rsidR="00130A0D" w:rsidRDefault="00130A0D" w:rsidP="00130A0D">
      <w:pPr>
        <w:spacing w:line="240" w:lineRule="auto"/>
        <w:ind w:leftChars="0" w:left="0" w:firstLineChars="0" w:firstLine="0"/>
        <w:jc w:val="both"/>
      </w:pPr>
      <w:r w:rsidRPr="00527D76">
        <w:rPr>
          <w:color w:val="000000" w:themeColor="text1"/>
        </w:rPr>
        <w:t xml:space="preserve">Na </w:t>
      </w:r>
      <w:r>
        <w:rPr>
          <w:color w:val="000000" w:themeColor="text1"/>
        </w:rPr>
        <w:t>sequência</w:t>
      </w:r>
      <w:r w:rsidRPr="00527D76">
        <w:rPr>
          <w:color w:val="000000" w:themeColor="text1"/>
        </w:rPr>
        <w:t>, realiza-se a normalização da matriz pela divisão entre cada um dos valores, juntamente com o somatório de cada coluna</w:t>
      </w:r>
      <w:r>
        <w:rPr>
          <w:color w:val="000000" w:themeColor="text1"/>
        </w:rPr>
        <w:t xml:space="preserve">, procurando </w:t>
      </w:r>
      <w:r w:rsidRPr="00527D76">
        <w:rPr>
          <w:color w:val="000000" w:themeColor="text1"/>
        </w:rPr>
        <w:t xml:space="preserve">estabelecer a importância relativa de cada critério de decisão. </w:t>
      </w:r>
      <w:r>
        <w:rPr>
          <w:color w:val="000000" w:themeColor="text1"/>
        </w:rPr>
        <w:t xml:space="preserve">Como resultado, </w:t>
      </w:r>
      <w:r w:rsidRPr="00527D76">
        <w:rPr>
          <w:color w:val="000000" w:themeColor="text1"/>
        </w:rPr>
        <w:t xml:space="preserve">feitas </w:t>
      </w:r>
      <w:r w:rsidR="00E33003">
        <w:rPr>
          <w:color w:val="000000" w:themeColor="text1"/>
        </w:rPr>
        <w:t xml:space="preserve">as </w:t>
      </w:r>
      <w:r w:rsidRPr="00527D76">
        <w:rPr>
          <w:color w:val="000000" w:themeColor="text1"/>
        </w:rPr>
        <w:t xml:space="preserve">comparações </w:t>
      </w:r>
      <w:r w:rsidR="007B627B">
        <w:rPr>
          <w:color w:val="000000" w:themeColor="text1"/>
        </w:rPr>
        <w:t>paritárias</w:t>
      </w:r>
      <w:r w:rsidRPr="00527D76">
        <w:rPr>
          <w:color w:val="000000" w:themeColor="text1"/>
        </w:rPr>
        <w:t xml:space="preserve"> entre os critérios, obté</w:t>
      </w:r>
      <w:r>
        <w:rPr>
          <w:color w:val="000000" w:themeColor="text1"/>
        </w:rPr>
        <w:t xml:space="preserve">m-se a </w:t>
      </w:r>
      <w:r w:rsidRPr="00527D76">
        <w:rPr>
          <w:color w:val="000000" w:themeColor="text1"/>
        </w:rPr>
        <w:t xml:space="preserve">matriz normalizada e, por </w:t>
      </w:r>
      <w:r>
        <w:rPr>
          <w:color w:val="000000" w:themeColor="text1"/>
        </w:rPr>
        <w:t>consequência,</w:t>
      </w:r>
      <w:r w:rsidRPr="00527D76">
        <w:rPr>
          <w:color w:val="000000" w:themeColor="text1"/>
        </w:rPr>
        <w:t xml:space="preserve"> o vetor prioridade de critérios.</w:t>
      </w:r>
      <w:r>
        <w:rPr>
          <w:color w:val="000000" w:themeColor="text1"/>
        </w:rPr>
        <w:t xml:space="preserve"> O</w:t>
      </w:r>
      <w:r w:rsidRPr="00527D76">
        <w:rPr>
          <w:color w:val="000000" w:themeColor="text1"/>
        </w:rPr>
        <w:t xml:space="preserve"> vetor de prioridade expressa as ponderações relativas entre cada </w:t>
      </w:r>
      <w:r w:rsidR="007B627B">
        <w:rPr>
          <w:color w:val="000000" w:themeColor="text1"/>
        </w:rPr>
        <w:t>critério</w:t>
      </w:r>
      <w:r w:rsidRPr="00527D76">
        <w:rPr>
          <w:color w:val="000000" w:themeColor="text1"/>
        </w:rPr>
        <w:t xml:space="preserve"> em si e pode ser determinado através da média aritmética dos valores associados a cada </w:t>
      </w:r>
      <w:r w:rsidR="007B627B">
        <w:rPr>
          <w:color w:val="000000" w:themeColor="text1"/>
        </w:rPr>
        <w:t>um deles</w:t>
      </w:r>
      <w:r w:rsidRPr="00527D76">
        <w:rPr>
          <w:color w:val="000000" w:themeColor="text1"/>
        </w:rPr>
        <w:t>,</w:t>
      </w:r>
      <w:r w:rsidR="007B627B">
        <w:rPr>
          <w:color w:val="000000" w:themeColor="text1"/>
        </w:rPr>
        <w:t xml:space="preserve"> sendo</w:t>
      </w:r>
      <w:r w:rsidRPr="00527D76">
        <w:rPr>
          <w:color w:val="000000" w:themeColor="text1"/>
        </w:rPr>
        <w:t xml:space="preserve"> importante destacar que a soma dos valores no vetor de prioridade deve</w:t>
      </w:r>
      <w:r w:rsidR="007B627B">
        <w:rPr>
          <w:color w:val="000000" w:themeColor="text1"/>
        </w:rPr>
        <w:t xml:space="preserve"> ser</w:t>
      </w:r>
      <w:r w:rsidRPr="00527D76">
        <w:rPr>
          <w:color w:val="000000" w:themeColor="text1"/>
        </w:rPr>
        <w:t xml:space="preserve"> 1. </w:t>
      </w:r>
      <w:r w:rsidRPr="00527D76">
        <w:t xml:space="preserve">Esse vetor condensa as </w:t>
      </w:r>
      <w:r w:rsidR="007B627B">
        <w:t>percepções</w:t>
      </w:r>
      <w:r w:rsidRPr="00527D76">
        <w:t xml:space="preserve"> dos decisores sobre a importância relativa dos </w:t>
      </w:r>
      <w:r w:rsidR="00BA0B43">
        <w:t xml:space="preserve">critérios </w:t>
      </w:r>
      <w:r w:rsidRPr="00527D76">
        <w:t>em análise, convertendo</w:t>
      </w:r>
      <w:r w:rsidR="00BA0B43">
        <w:t>-se os</w:t>
      </w:r>
      <w:r w:rsidRPr="00527D76">
        <w:t xml:space="preserve"> julgamentos qualitativos em informações quantificáveis. Ao gerar o vetor de prioridade, a AHP permite uma ordenação estruturada e objetiva dos critérios, possibilitando uma tomada de decisão mais informada e transparente.</w:t>
      </w:r>
    </w:p>
    <w:p w14:paraId="1BA187DB" w14:textId="77777777" w:rsidR="00DE74A6" w:rsidRDefault="00DE74A6" w:rsidP="00130A0D">
      <w:pPr>
        <w:spacing w:line="240" w:lineRule="auto"/>
        <w:ind w:leftChars="0" w:left="0" w:firstLineChars="0" w:firstLine="0"/>
        <w:jc w:val="both"/>
      </w:pPr>
    </w:p>
    <w:p w14:paraId="24966263" w14:textId="2C7AE126" w:rsidR="00DE74A6" w:rsidRPr="00527D76" w:rsidRDefault="00DE74A6" w:rsidP="00DE74A6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t xml:space="preserve">Destaca-se que, </w:t>
      </w:r>
      <w:r>
        <w:rPr>
          <w:color w:val="000000" w:themeColor="text1"/>
        </w:rPr>
        <w:t>a</w:t>
      </w:r>
      <w:r w:rsidRPr="00527D76">
        <w:rPr>
          <w:color w:val="000000" w:themeColor="text1"/>
        </w:rPr>
        <w:t xml:space="preserve">pesar dos julgamentos paritários serem baseados na experiência e conhecimento de profissionais, é possível que ocorram discrepâncias, especialmente, quando há um volume substancial de avaliações (Saaty, 1991). Para uma análise concisa, foi introduzindo uma técnica descrita por Saaty (2008) para a avaliação da coesão no julgamento de valores. Essa abordagem busca mitigar eventuais incongruências e fornecer uma estrutura mais robusta para a análise, contribuindo, assim, para a confiabilidade e validade do processo decisório. </w:t>
      </w:r>
    </w:p>
    <w:p w14:paraId="7D923574" w14:textId="384942B0" w:rsidR="00DE74A6" w:rsidRDefault="00DE74A6" w:rsidP="00130A0D">
      <w:pPr>
        <w:spacing w:line="240" w:lineRule="auto"/>
        <w:ind w:leftChars="0" w:left="0" w:firstLineChars="0" w:firstLine="0"/>
        <w:jc w:val="both"/>
      </w:pPr>
    </w:p>
    <w:p w14:paraId="0882EE54" w14:textId="2E1438DC" w:rsidR="00DE74A6" w:rsidRPr="00527D76" w:rsidRDefault="00D85D95" w:rsidP="00E33003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rPr>
          <w:color w:val="000000" w:themeColor="text1"/>
        </w:rPr>
        <w:t>Portanto, bu</w:t>
      </w:r>
      <w:r w:rsidR="00E33003">
        <w:rPr>
          <w:color w:val="000000" w:themeColor="text1"/>
        </w:rPr>
        <w:t>s</w:t>
      </w:r>
      <w:r>
        <w:rPr>
          <w:color w:val="000000" w:themeColor="text1"/>
        </w:rPr>
        <w:t>ca-se</w:t>
      </w:r>
      <w:r w:rsidR="00DE74A6" w:rsidRPr="00527D76">
        <w:rPr>
          <w:color w:val="000000" w:themeColor="text1"/>
        </w:rPr>
        <w:t xml:space="preserve"> analisar a inconsistência da matriz, que surge quando determinadas avaliações na matriz de comparação entram em contradição</w:t>
      </w:r>
      <w:r w:rsidR="00BA0B43">
        <w:rPr>
          <w:color w:val="000000" w:themeColor="text1"/>
        </w:rPr>
        <w:t xml:space="preserve"> e</w:t>
      </w:r>
      <w:r w:rsidR="00DE74A6" w:rsidRPr="00527D76">
        <w:rPr>
          <w:color w:val="000000" w:themeColor="text1"/>
        </w:rPr>
        <w:t>, com isso, torna-se necessário avaliar o grau de consistência dessas avaliações por meio de uma série de cálculos que indicam se a matriz de comparação é consistente ou não. De acordo com Marins (2006), os procedimentos para calcular a Relação de Consistência (RC) e o Índice de Consistência (IC) são os seguintes:</w:t>
      </w:r>
    </w:p>
    <w:p w14:paraId="24B4A74D" w14:textId="77777777" w:rsidR="00E33003" w:rsidRDefault="00E33003" w:rsidP="00E33003">
      <w:pPr>
        <w:pStyle w:val="PargrafodaLista"/>
        <w:spacing w:after="0" w:line="240" w:lineRule="auto"/>
        <w:ind w:left="0"/>
        <w:jc w:val="both"/>
        <w:rPr>
          <w:color w:val="000000" w:themeColor="text1"/>
          <w:sz w:val="24"/>
          <w:szCs w:val="24"/>
          <w:lang w:val="pt-BR"/>
        </w:rPr>
      </w:pPr>
    </w:p>
    <w:p w14:paraId="1D681435" w14:textId="3872BC75" w:rsidR="00DE74A6" w:rsidRPr="00B41433" w:rsidRDefault="00DE74A6" w:rsidP="009E0005">
      <w:pPr>
        <w:pStyle w:val="PargrafodaLista"/>
        <w:numPr>
          <w:ilvl w:val="0"/>
          <w:numId w:val="22"/>
        </w:numPr>
        <w:spacing w:after="0" w:line="240" w:lineRule="auto"/>
        <w:ind w:left="426" w:hanging="219"/>
        <w:jc w:val="both"/>
        <w:rPr>
          <w:color w:val="000000" w:themeColor="text1"/>
          <w:sz w:val="24"/>
          <w:szCs w:val="24"/>
          <w:lang w:val="pt-BR"/>
        </w:rPr>
      </w:pPr>
      <w:r w:rsidRPr="00527D76">
        <w:rPr>
          <w:color w:val="000000" w:themeColor="text1"/>
          <w:sz w:val="24"/>
          <w:szCs w:val="24"/>
          <w:lang w:val="pt-BR"/>
        </w:rPr>
        <w:t>Para cada linha da matriz de comparação, calcular a soma ponderada com base no produto de cada valor na mesma prioridade</w:t>
      </w:r>
      <w:r w:rsidRPr="00B41433">
        <w:rPr>
          <w:color w:val="000000" w:themeColor="text1"/>
          <w:sz w:val="24"/>
          <w:szCs w:val="24"/>
          <w:lang w:val="pt-BR"/>
        </w:rPr>
        <w:t xml:space="preserve"> da alternativa correspondente; </w:t>
      </w:r>
    </w:p>
    <w:p w14:paraId="3CDC0235" w14:textId="44CCB7D1" w:rsidR="00DE74A6" w:rsidRPr="00B41433" w:rsidRDefault="00E601E8" w:rsidP="009E0005">
      <w:pPr>
        <w:pStyle w:val="PargrafodaLista"/>
        <w:numPr>
          <w:ilvl w:val="0"/>
          <w:numId w:val="22"/>
        </w:numPr>
        <w:spacing w:after="0" w:line="240" w:lineRule="auto"/>
        <w:ind w:left="426" w:hanging="219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D</w:t>
      </w:r>
      <w:r w:rsidR="00DE74A6" w:rsidRPr="00B41433">
        <w:rPr>
          <w:color w:val="000000" w:themeColor="text1"/>
          <w:sz w:val="24"/>
          <w:szCs w:val="24"/>
          <w:lang w:val="pt-BR"/>
        </w:rPr>
        <w:t xml:space="preserve">ividir os resultados obtidos pelos vetores da respectiva matriz; </w:t>
      </w:r>
    </w:p>
    <w:p w14:paraId="5F4D73A2" w14:textId="0BB4D618" w:rsidR="00DE74A6" w:rsidRPr="00527D76" w:rsidRDefault="00E601E8" w:rsidP="009E0005">
      <w:pPr>
        <w:pStyle w:val="PargrafodaLista"/>
        <w:numPr>
          <w:ilvl w:val="0"/>
          <w:numId w:val="22"/>
        </w:numPr>
        <w:spacing w:after="0" w:line="240" w:lineRule="auto"/>
        <w:ind w:left="426" w:hanging="219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Obter</w:t>
      </w:r>
      <w:r w:rsidR="00BA0B43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o</w:t>
      </w:r>
      <w:r w:rsidR="00DE74A6" w:rsidRPr="00527D76">
        <w:rPr>
          <w:color w:val="000000" w:themeColor="text1"/>
          <w:sz w:val="24"/>
          <w:szCs w:val="24"/>
          <w:lang w:val="pt-BR"/>
        </w:rPr>
        <w:t xml:space="preserve"> </w:t>
      </w:r>
      <w:r w:rsidR="00DE74A6" w:rsidRPr="00527D76">
        <w:rPr>
          <w:color w:val="000000" w:themeColor="text1"/>
          <w:sz w:val="24"/>
          <w:szCs w:val="24"/>
        </w:rPr>
        <w:t>λ</w:t>
      </w:r>
      <w:proofErr w:type="spellStart"/>
      <w:r w:rsidR="00DE74A6" w:rsidRPr="00527D76">
        <w:rPr>
          <w:color w:val="000000" w:themeColor="text1"/>
          <w:sz w:val="24"/>
          <w:szCs w:val="24"/>
          <w:lang w:val="pt-BR"/>
        </w:rPr>
        <w:t>max</w:t>
      </w:r>
      <w:proofErr w:type="spellEnd"/>
      <w:r w:rsidR="00DE74A6" w:rsidRPr="00527D76">
        <w:rPr>
          <w:color w:val="000000" w:themeColor="text1"/>
          <w:sz w:val="24"/>
          <w:szCs w:val="24"/>
          <w:lang w:val="pt-BR"/>
        </w:rPr>
        <w:t xml:space="preserve">; </w:t>
      </w:r>
    </w:p>
    <w:p w14:paraId="3959F986" w14:textId="2F10F36C" w:rsidR="00DE74A6" w:rsidRDefault="00BA0B43" w:rsidP="009E0005">
      <w:pPr>
        <w:pStyle w:val="PargrafodaLista"/>
        <w:numPr>
          <w:ilvl w:val="0"/>
          <w:numId w:val="22"/>
        </w:numPr>
        <w:spacing w:after="0" w:line="240" w:lineRule="auto"/>
        <w:ind w:left="426" w:hanging="219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C</w:t>
      </w:r>
      <w:r w:rsidR="00DE74A6" w:rsidRPr="00527D76">
        <w:rPr>
          <w:color w:val="000000" w:themeColor="text1"/>
          <w:sz w:val="24"/>
          <w:szCs w:val="24"/>
          <w:lang w:val="pt-BR"/>
        </w:rPr>
        <w:t>alcular o Índice de Consistência (IC) utilizando a Eq.5</w:t>
      </w:r>
      <w:r w:rsidR="00E33003">
        <w:rPr>
          <w:color w:val="000000" w:themeColor="text1"/>
          <w:sz w:val="24"/>
          <w:szCs w:val="24"/>
          <w:lang w:val="pt-BR"/>
        </w:rPr>
        <w:t>:</w:t>
      </w:r>
      <w:r w:rsidR="00DE74A6" w:rsidRPr="00527D76">
        <w:rPr>
          <w:color w:val="000000" w:themeColor="text1"/>
          <w:sz w:val="24"/>
          <w:szCs w:val="24"/>
          <w:lang w:val="pt-BR"/>
        </w:rPr>
        <w:t xml:space="preserve"> </w:t>
      </w:r>
    </w:p>
    <w:p w14:paraId="4BC66431" w14:textId="77777777" w:rsidR="00DE74A6" w:rsidRPr="001F28D1" w:rsidRDefault="00DE74A6" w:rsidP="00DE74A6">
      <w:pPr>
        <w:ind w:left="0" w:hanging="2"/>
        <w:rPr>
          <w:lang w:eastAsia="en-US"/>
        </w:rPr>
      </w:pPr>
    </w:p>
    <w:p w14:paraId="14FE95D4" w14:textId="77777777" w:rsidR="00DE74A6" w:rsidRDefault="00DE74A6" w:rsidP="00DE74A6">
      <w:pPr>
        <w:spacing w:line="240" w:lineRule="auto"/>
        <w:ind w:leftChars="0" w:left="0" w:firstLineChars="0" w:firstLine="0"/>
        <w:jc w:val="right"/>
        <w:rPr>
          <w:color w:val="000000" w:themeColor="text1"/>
        </w:rPr>
      </w:pPr>
      <w:r>
        <w:rPr>
          <w:color w:val="000000" w:themeColor="text1"/>
        </w:rPr>
        <w:t>IC = (</w:t>
      </w:r>
      <w:proofErr w:type="spellStart"/>
      <w:r>
        <w:rPr>
          <w:color w:val="000000" w:themeColor="text1"/>
        </w:rPr>
        <w:t>λmax</w:t>
      </w:r>
      <w:proofErr w:type="spellEnd"/>
      <w:r>
        <w:rPr>
          <w:color w:val="000000" w:themeColor="text1"/>
        </w:rPr>
        <w:t xml:space="preserve"> - n) / (n – </w:t>
      </w:r>
      <w:proofErr w:type="gramStart"/>
      <w:r>
        <w:rPr>
          <w:color w:val="000000" w:themeColor="text1"/>
        </w:rPr>
        <w:t xml:space="preserve">1)   </w:t>
      </w:r>
      <w:proofErr w:type="gramEnd"/>
      <w:r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  <w:shd w:val="clear" w:color="auto" w:fill="FFFFFF"/>
        </w:rPr>
        <w:t>(5</w:t>
      </w:r>
      <w:r w:rsidRPr="00527D76">
        <w:rPr>
          <w:color w:val="000000" w:themeColor="text1"/>
          <w:shd w:val="clear" w:color="auto" w:fill="FFFFFF"/>
        </w:rPr>
        <w:t>)</w:t>
      </w:r>
    </w:p>
    <w:p w14:paraId="05C69A52" w14:textId="77777777" w:rsidR="00DE74A6" w:rsidRDefault="00DE74A6" w:rsidP="00DE74A6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2A1A1D4B" w14:textId="4D8829C9" w:rsidR="00DE74A6" w:rsidRDefault="00DE74A6" w:rsidP="00DE74A6">
      <w:pPr>
        <w:spacing w:line="24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  <w:r w:rsidRPr="007C66F3">
        <w:rPr>
          <w:color w:val="000000" w:themeColor="text1"/>
        </w:rPr>
        <w:t xml:space="preserve">Para calcular </w:t>
      </w:r>
      <w:r w:rsidR="00816465">
        <w:rPr>
          <w:color w:val="000000" w:themeColor="text1"/>
        </w:rPr>
        <w:t>a</w:t>
      </w:r>
      <w:r w:rsidRPr="007C66F3">
        <w:rPr>
          <w:color w:val="000000" w:themeColor="text1"/>
        </w:rPr>
        <w:t xml:space="preserve"> RC, divide-se </w:t>
      </w:r>
      <w:r w:rsidR="00816465">
        <w:rPr>
          <w:color w:val="000000" w:themeColor="text1"/>
        </w:rPr>
        <w:t>o</w:t>
      </w:r>
      <w:r w:rsidRPr="007C66F3">
        <w:rPr>
          <w:color w:val="000000" w:themeColor="text1"/>
        </w:rPr>
        <w:t xml:space="preserve"> IC pelo Índice de Inconsistência Média (IAM), sendo caracterizado como uma constante, cujo valor, depende da ordem da matriz em estudo</w:t>
      </w:r>
      <w:r w:rsidR="00D85D95">
        <w:rPr>
          <w:color w:val="000000" w:themeColor="text1"/>
        </w:rPr>
        <w:t xml:space="preserve">. No </w:t>
      </w:r>
      <w:r>
        <w:rPr>
          <w:color w:val="000000" w:themeColor="text1"/>
        </w:rPr>
        <w:t>método AHP</w:t>
      </w:r>
      <w:r w:rsidR="00D85D95">
        <w:rPr>
          <w:color w:val="000000" w:themeColor="text1"/>
        </w:rPr>
        <w:t xml:space="preserve"> recomenda-se</w:t>
      </w:r>
      <w:r w:rsidRPr="007C66F3">
        <w:rPr>
          <w:color w:val="000000" w:themeColor="text1"/>
        </w:rPr>
        <w:t xml:space="preserve"> que </w:t>
      </w:r>
      <w:r w:rsidR="00D85D95">
        <w:rPr>
          <w:color w:val="000000" w:themeColor="text1"/>
        </w:rPr>
        <w:t>a</w:t>
      </w:r>
      <w:r w:rsidRPr="007C66F3">
        <w:rPr>
          <w:color w:val="000000" w:themeColor="text1"/>
        </w:rPr>
        <w:t xml:space="preserve"> RC de qualquer matriz de comparação seja menor ou igual a 0,10. </w:t>
      </w:r>
      <w:r w:rsidR="00B618AC">
        <w:rPr>
          <w:color w:val="000000" w:themeColor="text1"/>
        </w:rPr>
        <w:t>O</w:t>
      </w:r>
      <w:r w:rsidR="00B618AC">
        <w:rPr>
          <w:rStyle w:val="fontstyle01"/>
          <w:rFonts w:ascii="Times New Roman" w:hAnsi="Times New Roman"/>
          <w:color w:val="000000" w:themeColor="text1"/>
        </w:rPr>
        <w:t xml:space="preserve"> r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esultado de Consistência </w:t>
      </w:r>
      <w:r w:rsidRPr="00B305DD">
        <w:rPr>
          <w:rStyle w:val="fontstyle01"/>
          <w:rFonts w:ascii="Times New Roman" w:hAnsi="Times New Roman"/>
          <w:color w:val="000000" w:themeColor="text1"/>
        </w:rPr>
        <w:t>(</w:t>
      </w:r>
      <w:r w:rsidR="00397AD5" w:rsidRPr="007C66F3">
        <w:rPr>
          <w:color w:val="000000" w:themeColor="text1"/>
        </w:rPr>
        <w:t>RC</w:t>
      </w:r>
      <w:r w:rsidRPr="00B305DD">
        <w:rPr>
          <w:rStyle w:val="fontstyle01"/>
          <w:rFonts w:ascii="Times New Roman" w:hAnsi="Times New Roman"/>
          <w:b/>
          <w:color w:val="000000" w:themeColor="text1"/>
        </w:rPr>
        <w:t>)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 que define se os pesos calculados são aceitáveis </w:t>
      </w:r>
      <w:r w:rsidRPr="00527D76">
        <w:rPr>
          <w:rStyle w:val="fontstyle01"/>
          <w:rFonts w:ascii="Times New Roman" w:hAnsi="Times New Roman"/>
          <w:color w:val="000000" w:themeColor="text1"/>
        </w:rPr>
        <w:t>ou não</w:t>
      </w:r>
      <w:r w:rsidR="00397AD5">
        <w:rPr>
          <w:rStyle w:val="fontstyle01"/>
          <w:rFonts w:ascii="Times New Roman" w:hAnsi="Times New Roman"/>
          <w:color w:val="000000" w:themeColor="text1"/>
        </w:rPr>
        <w:t xml:space="preserve">, </w:t>
      </w:r>
      <w:proofErr w:type="gramStart"/>
      <w:r w:rsidR="00397AD5">
        <w:rPr>
          <w:rStyle w:val="fontstyle01"/>
          <w:rFonts w:ascii="Times New Roman" w:hAnsi="Times New Roman"/>
          <w:color w:val="000000" w:themeColor="text1"/>
        </w:rPr>
        <w:t xml:space="preserve">tendo </w:t>
      </w:r>
      <w:r w:rsidRPr="00527D76">
        <w:rPr>
          <w:rStyle w:val="fontstyle01"/>
          <w:rFonts w:ascii="Times New Roman" w:hAnsi="Times New Roman"/>
          <w:color w:val="000000" w:themeColor="text1"/>
        </w:rPr>
        <w:t xml:space="preserve"> Saaty</w:t>
      </w:r>
      <w:proofErr w:type="gramEnd"/>
      <w:r w:rsidRPr="00527D76">
        <w:rPr>
          <w:rStyle w:val="fontstyle01"/>
          <w:rFonts w:ascii="Times New Roman" w:hAnsi="Times New Roman"/>
          <w:color w:val="000000" w:themeColor="text1"/>
        </w:rPr>
        <w:t xml:space="preserve"> (1991) estabele</w:t>
      </w:r>
      <w:r w:rsidR="00397AD5">
        <w:rPr>
          <w:rStyle w:val="fontstyle01"/>
          <w:rFonts w:ascii="Times New Roman" w:hAnsi="Times New Roman"/>
          <w:color w:val="000000" w:themeColor="text1"/>
        </w:rPr>
        <w:t xml:space="preserve">cido 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o valor de </w:t>
      </w:r>
      <w:r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R</w:t>
      </w:r>
      <w:r>
        <w:rPr>
          <w:rStyle w:val="fontstyle21"/>
          <w:b w:val="0"/>
          <w:color w:val="000000" w:themeColor="text1"/>
          <w:sz w:val="24"/>
          <w:szCs w:val="24"/>
        </w:rPr>
        <w:t>C</w:t>
      </w:r>
      <w:r w:rsidRPr="00B305DD">
        <w:rPr>
          <w:rStyle w:val="fontstyle21"/>
          <w:b w:val="0"/>
          <w:color w:val="000000" w:themeColor="text1"/>
          <w:sz w:val="24"/>
          <w:szCs w:val="24"/>
        </w:rPr>
        <w:t xml:space="preserve"> &lt; 0,1</w:t>
      </w:r>
      <w:r w:rsidRPr="009B7A08">
        <w:rPr>
          <w:rStyle w:val="fontstyle21"/>
          <w:color w:val="000000" w:themeColor="text1"/>
          <w:sz w:val="24"/>
          <w:szCs w:val="24"/>
        </w:rPr>
        <w:t xml:space="preserve"> 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como aceitável. Calcula-se </w:t>
      </w:r>
      <w:r w:rsidRPr="00B305DD">
        <w:rPr>
          <w:rStyle w:val="fontstyle21"/>
          <w:rFonts w:ascii="Cambria Math" w:hAnsi="Cambria Math" w:cs="Cambria Math"/>
          <w:b w:val="0"/>
          <w:color w:val="000000" w:themeColor="text1"/>
          <w:sz w:val="24"/>
          <w:szCs w:val="24"/>
        </w:rPr>
        <w:t>𝑅</w:t>
      </w:r>
      <w:r>
        <w:rPr>
          <w:rStyle w:val="fontstyle21"/>
          <w:b w:val="0"/>
          <w:color w:val="000000" w:themeColor="text1"/>
          <w:sz w:val="24"/>
          <w:szCs w:val="24"/>
        </w:rPr>
        <w:t>C</w:t>
      </w:r>
      <w:r w:rsidRPr="009B7A08">
        <w:rPr>
          <w:rStyle w:val="fontstyle21"/>
          <w:color w:val="000000" w:themeColor="text1"/>
          <w:sz w:val="24"/>
          <w:szCs w:val="24"/>
        </w:rPr>
        <w:t xml:space="preserve"> 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através da Eq. </w:t>
      </w:r>
      <w:r>
        <w:rPr>
          <w:rStyle w:val="fontstyle01"/>
          <w:rFonts w:ascii="Times New Roman" w:hAnsi="Times New Roman"/>
          <w:color w:val="000000" w:themeColor="text1"/>
        </w:rPr>
        <w:t>6</w:t>
      </w:r>
      <w:r w:rsidRPr="009B7A08">
        <w:rPr>
          <w:rStyle w:val="fontstyle01"/>
          <w:rFonts w:ascii="Times New Roman" w:hAnsi="Times New Roman"/>
          <w:color w:val="000000" w:themeColor="text1"/>
        </w:rPr>
        <w:t>:</w:t>
      </w:r>
    </w:p>
    <w:p w14:paraId="46E291A0" w14:textId="77777777" w:rsidR="00DE74A6" w:rsidRPr="009B7A08" w:rsidRDefault="00DE74A6" w:rsidP="00DE74A6">
      <w:pPr>
        <w:spacing w:line="24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</w:p>
    <w:p w14:paraId="7CF9769F" w14:textId="77777777" w:rsidR="00DE74A6" w:rsidRPr="009B7A08" w:rsidRDefault="00DE74A6" w:rsidP="00DE74A6">
      <w:pPr>
        <w:spacing w:line="360" w:lineRule="auto"/>
        <w:ind w:leftChars="0" w:left="0" w:firstLineChars="0" w:firstLine="0"/>
        <w:jc w:val="right"/>
        <w:rPr>
          <w:shd w:val="clear" w:color="auto" w:fill="FFFFFF"/>
        </w:rPr>
      </w:pPr>
      <w:r w:rsidRPr="009B7A08">
        <w:rPr>
          <w:rStyle w:val="fontstyle01"/>
          <w:rFonts w:ascii="Times New Roman" w:hAnsi="Times New Roman"/>
          <w:color w:val="000000" w:themeColor="text1"/>
        </w:rPr>
        <w:lastRenderedPageBreak/>
        <w:t xml:space="preserve">RC =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 w:themeColor="text1"/>
                <w:lang w:eastAsia="en-US"/>
              </w:rPr>
            </m:ctrlPr>
          </m:fPr>
          <m:num>
            <m:r>
              <w:rPr>
                <w:rStyle w:val="fontstyle01"/>
                <w:rFonts w:ascii="Cambria Math" w:hAnsi="Cambria Math"/>
                <w:color w:val="000000" w:themeColor="text1"/>
              </w:rPr>
              <m:t>IC</m:t>
            </m:r>
          </m:num>
          <m:den>
            <m:r>
              <w:rPr>
                <w:rStyle w:val="fontstyle01"/>
                <w:rFonts w:ascii="Cambria Math" w:hAnsi="Cambria Math"/>
                <w:color w:val="000000" w:themeColor="text1"/>
              </w:rPr>
              <m:t>IR</m:t>
            </m:r>
          </m:den>
        </m:f>
      </m:oMath>
      <w:r w:rsidRPr="009B7A08">
        <w:rPr>
          <w:rStyle w:val="fontstyle01"/>
          <w:rFonts w:ascii="Times New Roman" w:eastAsiaTheme="minorEastAsia" w:hAnsi="Times New Roman"/>
          <w:color w:val="000000" w:themeColor="text1"/>
        </w:rPr>
        <w:t xml:space="preserve"> </w:t>
      </w:r>
      <w:r w:rsidRPr="009B7A08">
        <w:rPr>
          <w:color w:val="000000" w:themeColor="text1"/>
        </w:rPr>
        <w:t xml:space="preserve">                                                                </w:t>
      </w:r>
      <w:r w:rsidRPr="009B7A08">
        <w:rPr>
          <w:color w:val="000000" w:themeColor="text1"/>
          <w:shd w:val="clear" w:color="auto" w:fill="FFFFFF"/>
        </w:rPr>
        <w:t>(</w:t>
      </w:r>
      <w:r>
        <w:rPr>
          <w:color w:val="000000" w:themeColor="text1"/>
          <w:shd w:val="clear" w:color="auto" w:fill="FFFFFF"/>
        </w:rPr>
        <w:t>6</w:t>
      </w:r>
      <w:r w:rsidRPr="009B7A08">
        <w:rPr>
          <w:color w:val="000000" w:themeColor="text1"/>
          <w:shd w:val="clear" w:color="auto" w:fill="FFFFFF"/>
        </w:rPr>
        <w:t>)</w:t>
      </w:r>
    </w:p>
    <w:p w14:paraId="0948A741" w14:textId="77777777" w:rsidR="00DE74A6" w:rsidRDefault="00DE74A6" w:rsidP="00DE74A6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434514E5" w14:textId="09563C2F" w:rsidR="00DE74A6" w:rsidRDefault="00DE74A6" w:rsidP="00DE74A6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 w:rsidRPr="009B7A08">
        <w:rPr>
          <w:color w:val="000000" w:themeColor="text1"/>
        </w:rPr>
        <w:t xml:space="preserve">Onde </w:t>
      </w:r>
      <w:r w:rsidRPr="009B7A08">
        <w:rPr>
          <w:rFonts w:ascii="Cambria Math" w:eastAsia="Cambria Math" w:hAnsi="Cambria Math" w:cs="Cambria Math"/>
          <w:color w:val="000000" w:themeColor="text1"/>
        </w:rPr>
        <w:t>𝐼𝑅</w:t>
      </w:r>
      <w:r w:rsidRPr="009B7A08">
        <w:rPr>
          <w:rFonts w:eastAsia="Cambria Math"/>
          <w:color w:val="000000" w:themeColor="text1"/>
          <w:spacing w:val="8"/>
        </w:rPr>
        <w:t xml:space="preserve"> </w:t>
      </w:r>
      <w:r w:rsidRPr="009B7A08">
        <w:rPr>
          <w:color w:val="000000" w:themeColor="text1"/>
        </w:rPr>
        <w:t>é</w:t>
      </w:r>
      <w:r w:rsidRPr="009B7A08">
        <w:rPr>
          <w:color w:val="000000" w:themeColor="text1"/>
          <w:spacing w:val="2"/>
        </w:rPr>
        <w:t xml:space="preserve"> </w:t>
      </w:r>
      <w:r w:rsidRPr="009B7A08">
        <w:rPr>
          <w:color w:val="000000" w:themeColor="text1"/>
        </w:rPr>
        <w:t>o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Índice</w:t>
      </w:r>
      <w:r w:rsidRPr="009B7A08">
        <w:rPr>
          <w:color w:val="000000" w:themeColor="text1"/>
          <w:spacing w:val="2"/>
        </w:rPr>
        <w:t xml:space="preserve"> </w:t>
      </w:r>
      <w:r w:rsidRPr="009B7A08">
        <w:rPr>
          <w:color w:val="000000" w:themeColor="text1"/>
        </w:rPr>
        <w:t>Randômico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Médio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do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método AHP,</w:t>
      </w:r>
      <w:r w:rsidRPr="009B7A08">
        <w:rPr>
          <w:color w:val="000000" w:themeColor="text1"/>
          <w:spacing w:val="2"/>
        </w:rPr>
        <w:t xml:space="preserve"> </w:t>
      </w:r>
      <w:r w:rsidRPr="009B7A08">
        <w:rPr>
          <w:color w:val="000000" w:themeColor="text1"/>
        </w:rPr>
        <w:t>definido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por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Saaty</w:t>
      </w:r>
      <w:r w:rsidRPr="009B7A08">
        <w:rPr>
          <w:color w:val="000000" w:themeColor="text1"/>
          <w:spacing w:val="2"/>
        </w:rPr>
        <w:t xml:space="preserve"> </w:t>
      </w:r>
      <w:r w:rsidRPr="009B7A08">
        <w:rPr>
          <w:color w:val="000000" w:themeColor="text1"/>
        </w:rPr>
        <w:t>(1991)</w:t>
      </w:r>
      <w:r w:rsidRPr="009B7A08">
        <w:rPr>
          <w:color w:val="000000" w:themeColor="text1"/>
          <w:spacing w:val="-1"/>
        </w:rPr>
        <w:t xml:space="preserve"> </w:t>
      </w:r>
      <w:r w:rsidRPr="009B7A08">
        <w:rPr>
          <w:color w:val="000000" w:themeColor="text1"/>
        </w:rPr>
        <w:t>em</w:t>
      </w:r>
      <w:r w:rsidRPr="009B7A08">
        <w:rPr>
          <w:color w:val="000000" w:themeColor="text1"/>
          <w:spacing w:val="1"/>
        </w:rPr>
        <w:t xml:space="preserve"> </w:t>
      </w:r>
      <w:r w:rsidRPr="009B7A08">
        <w:rPr>
          <w:color w:val="000000" w:themeColor="text1"/>
        </w:rPr>
        <w:t>função</w:t>
      </w:r>
      <w:r w:rsidRPr="009B7A08">
        <w:rPr>
          <w:color w:val="000000" w:themeColor="text1"/>
          <w:spacing w:val="2"/>
        </w:rPr>
        <w:t xml:space="preserve"> </w:t>
      </w:r>
      <w:r w:rsidRPr="009B7A08">
        <w:rPr>
          <w:color w:val="000000" w:themeColor="text1"/>
        </w:rPr>
        <w:t>do tamanho</w:t>
      </w:r>
      <w:r w:rsidRPr="009B7A08">
        <w:rPr>
          <w:color w:val="000000" w:themeColor="text1"/>
          <w:spacing w:val="-2"/>
        </w:rPr>
        <w:t xml:space="preserve"> </w:t>
      </w:r>
      <w:r w:rsidRPr="009B7A08">
        <w:rPr>
          <w:color w:val="000000" w:themeColor="text1"/>
        </w:rPr>
        <w:t>da</w:t>
      </w:r>
      <w:r w:rsidRPr="009B7A08">
        <w:rPr>
          <w:color w:val="000000" w:themeColor="text1"/>
          <w:spacing w:val="-2"/>
        </w:rPr>
        <w:t xml:space="preserve"> </w:t>
      </w:r>
      <w:r w:rsidRPr="009B7A08">
        <w:rPr>
          <w:color w:val="000000" w:themeColor="text1"/>
        </w:rPr>
        <w:t>matriz</w:t>
      </w:r>
      <w:r w:rsidRPr="009B7A08">
        <w:rPr>
          <w:color w:val="000000" w:themeColor="text1"/>
          <w:spacing w:val="-1"/>
        </w:rPr>
        <w:t xml:space="preserve"> </w:t>
      </w:r>
      <w:r w:rsidRPr="009B7A08">
        <w:rPr>
          <w:color w:val="000000" w:themeColor="text1"/>
        </w:rPr>
        <w:t>(</w:t>
      </w:r>
      <w:r w:rsidRPr="009B7A08">
        <w:rPr>
          <w:rFonts w:ascii="Cambria Math" w:eastAsia="Cambria Math" w:hAnsi="Cambria Math" w:cs="Cambria Math"/>
          <w:color w:val="000000" w:themeColor="text1"/>
        </w:rPr>
        <w:t>𝑛</w:t>
      </w:r>
      <w:r w:rsidRPr="009B7A08">
        <w:rPr>
          <w:color w:val="000000" w:themeColor="text1"/>
        </w:rPr>
        <w:t>)</w:t>
      </w:r>
      <w:r w:rsidRPr="009B7A08">
        <w:rPr>
          <w:color w:val="000000" w:themeColor="text1"/>
          <w:spacing w:val="-2"/>
        </w:rPr>
        <w:t xml:space="preserve"> </w:t>
      </w:r>
      <w:r w:rsidRPr="009B7A08">
        <w:rPr>
          <w:color w:val="000000" w:themeColor="text1"/>
        </w:rPr>
        <w:t>(ver Tabela</w:t>
      </w:r>
      <w:r>
        <w:rPr>
          <w:color w:val="000000" w:themeColor="text1"/>
          <w:spacing w:val="-2"/>
        </w:rPr>
        <w:t xml:space="preserve"> </w:t>
      </w:r>
      <w:r w:rsidR="00E601E8">
        <w:rPr>
          <w:color w:val="000000" w:themeColor="text1"/>
          <w:spacing w:val="-2"/>
        </w:rPr>
        <w:t>3</w:t>
      </w:r>
      <w:r w:rsidRPr="009B7A08">
        <w:rPr>
          <w:color w:val="000000" w:themeColor="text1"/>
        </w:rPr>
        <w:t>),</w:t>
      </w:r>
      <w:r w:rsidRPr="009B7A08">
        <w:rPr>
          <w:color w:val="000000" w:themeColor="text1"/>
          <w:spacing w:val="-2"/>
        </w:rPr>
        <w:t xml:space="preserve"> </w:t>
      </w:r>
      <w:r w:rsidRPr="009B7A08">
        <w:rPr>
          <w:color w:val="000000" w:themeColor="text1"/>
        </w:rPr>
        <w:t xml:space="preserve">e </w:t>
      </w:r>
      <w:r w:rsidRPr="009B7A08">
        <w:rPr>
          <w:rFonts w:ascii="Cambria Math" w:eastAsia="Cambria Math" w:hAnsi="Cambria Math" w:cs="Cambria Math"/>
          <w:color w:val="000000" w:themeColor="text1"/>
        </w:rPr>
        <w:t>𝐼𝐶</w:t>
      </w:r>
      <w:r w:rsidRPr="009B7A08">
        <w:rPr>
          <w:rFonts w:eastAsia="Cambria Math"/>
          <w:color w:val="000000" w:themeColor="text1"/>
          <w:spacing w:val="9"/>
        </w:rPr>
        <w:t xml:space="preserve"> </w:t>
      </w:r>
      <w:r w:rsidRPr="009B7A08">
        <w:rPr>
          <w:color w:val="000000" w:themeColor="text1"/>
        </w:rPr>
        <w:t>é o</w:t>
      </w:r>
      <w:r w:rsidRPr="009B7A08">
        <w:rPr>
          <w:color w:val="000000" w:themeColor="text1"/>
          <w:spacing w:val="-2"/>
        </w:rPr>
        <w:t xml:space="preserve"> </w:t>
      </w:r>
      <w:r w:rsidRPr="009B7A08">
        <w:rPr>
          <w:color w:val="000000" w:themeColor="text1"/>
        </w:rPr>
        <w:t>Índice</w:t>
      </w:r>
      <w:r w:rsidRPr="009B7A08">
        <w:rPr>
          <w:color w:val="000000" w:themeColor="text1"/>
          <w:spacing w:val="-1"/>
        </w:rPr>
        <w:t xml:space="preserve"> </w:t>
      </w:r>
      <w:r w:rsidRPr="009B7A08">
        <w:rPr>
          <w:color w:val="000000" w:themeColor="text1"/>
        </w:rPr>
        <w:t>de</w:t>
      </w:r>
      <w:r w:rsidRPr="009B7A08">
        <w:rPr>
          <w:color w:val="000000" w:themeColor="text1"/>
          <w:spacing w:val="-1"/>
        </w:rPr>
        <w:t xml:space="preserve"> </w:t>
      </w:r>
      <w:r w:rsidRPr="009B7A08">
        <w:rPr>
          <w:color w:val="000000" w:themeColor="text1"/>
        </w:rPr>
        <w:t>Consistência</w:t>
      </w:r>
      <w:r w:rsidRPr="009B7A08">
        <w:rPr>
          <w:color w:val="000000" w:themeColor="text1"/>
          <w:spacing w:val="-1"/>
        </w:rPr>
        <w:t xml:space="preserve"> </w:t>
      </w:r>
      <w:r w:rsidRPr="009B7A08">
        <w:rPr>
          <w:color w:val="000000" w:themeColor="text1"/>
        </w:rPr>
        <w:t>definido</w:t>
      </w:r>
      <w:r w:rsidRPr="009B7A08">
        <w:rPr>
          <w:color w:val="000000" w:themeColor="text1"/>
          <w:spacing w:val="-1"/>
        </w:rPr>
        <w:t xml:space="preserve"> </w:t>
      </w:r>
      <w:r w:rsidR="00E601E8">
        <w:rPr>
          <w:color w:val="000000" w:themeColor="text1"/>
          <w:spacing w:val="-1"/>
        </w:rPr>
        <w:t>na</w:t>
      </w:r>
      <w:r w:rsidR="00E601E8">
        <w:rPr>
          <w:color w:val="000000" w:themeColor="text1"/>
        </w:rPr>
        <w:t xml:space="preserve"> 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Eq. </w:t>
      </w:r>
      <w:r>
        <w:rPr>
          <w:rStyle w:val="fontstyle01"/>
          <w:rFonts w:ascii="Times New Roman" w:hAnsi="Times New Roman"/>
          <w:color w:val="000000" w:themeColor="text1"/>
        </w:rPr>
        <w:t>7</w:t>
      </w:r>
      <w:r w:rsidRPr="009B7A08">
        <w:rPr>
          <w:color w:val="000000" w:themeColor="text1"/>
        </w:rPr>
        <w:t>:</w:t>
      </w:r>
    </w:p>
    <w:p w14:paraId="47806D33" w14:textId="77777777" w:rsidR="00E601E8" w:rsidRDefault="00E601E8" w:rsidP="00DE74A6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3A95E06E" w14:textId="77777777" w:rsidR="00DE74A6" w:rsidRDefault="00DE74A6" w:rsidP="00DE74A6">
      <w:pPr>
        <w:spacing w:line="240" w:lineRule="auto"/>
        <w:ind w:leftChars="0" w:left="0" w:firstLineChars="0" w:firstLine="0"/>
        <w:jc w:val="right"/>
        <w:rPr>
          <w:rFonts w:eastAsia="Cambria Math"/>
          <w:color w:val="000000" w:themeColor="text1"/>
          <w:w w:val="95"/>
          <w:position w:val="-9"/>
        </w:rPr>
      </w:pPr>
      <w:r w:rsidRPr="009B7A08">
        <w:rPr>
          <w:rFonts w:ascii="Cambria Math" w:eastAsia="Cambria Math" w:hAnsi="Cambria Math" w:cs="Cambria Math"/>
          <w:color w:val="000000" w:themeColor="text1"/>
          <w:w w:val="95"/>
        </w:rPr>
        <w:t>𝐼𝐶</w:t>
      </w:r>
      <w:r w:rsidRPr="009B7A08">
        <w:rPr>
          <w:rFonts w:eastAsia="Cambria Math"/>
          <w:color w:val="000000" w:themeColor="text1"/>
          <w:spacing w:val="21"/>
          <w:w w:val="95"/>
        </w:rPr>
        <w:t xml:space="preserve"> </w:t>
      </w:r>
      <w:r w:rsidRPr="009B7A08">
        <w:rPr>
          <w:rFonts w:eastAsia="Cambria Math"/>
          <w:color w:val="000000" w:themeColor="text1"/>
          <w:w w:val="95"/>
        </w:rPr>
        <w:t>=</w:t>
      </w:r>
      <w:r w:rsidRPr="009B7A08">
        <w:rPr>
          <w:rFonts w:eastAsia="Cambria Math"/>
          <w:color w:val="000000" w:themeColor="text1"/>
          <w:spacing w:val="12"/>
          <w:w w:val="95"/>
        </w:rPr>
        <w:t xml:space="preserve"> </w:t>
      </w:r>
      <w:r w:rsidRPr="009B7A08">
        <w:rPr>
          <w:rFonts w:ascii="Cambria Math" w:eastAsia="Cambria Math" w:hAnsi="Cambria Math" w:cs="Cambria Math"/>
          <w:color w:val="000000" w:themeColor="text1"/>
          <w:w w:val="95"/>
          <w:position w:val="13"/>
        </w:rPr>
        <w:t>𝜆</w:t>
      </w:r>
      <w:r w:rsidRPr="009B7A08">
        <w:rPr>
          <w:rFonts w:ascii="Cambria Math" w:eastAsia="Cambria Math" w:hAnsi="Cambria Math" w:cs="Cambria Math"/>
          <w:color w:val="000000" w:themeColor="text1"/>
          <w:w w:val="95"/>
          <w:position w:val="8"/>
        </w:rPr>
        <w:t>𝑀𝑎𝑥</w:t>
      </w:r>
      <w:r w:rsidRPr="009B7A08">
        <w:rPr>
          <w:rFonts w:eastAsia="Cambria Math"/>
          <w:color w:val="000000" w:themeColor="text1"/>
          <w:spacing w:val="27"/>
          <w:w w:val="95"/>
          <w:position w:val="8"/>
        </w:rPr>
        <w:t xml:space="preserve"> </w:t>
      </w:r>
      <w:r w:rsidRPr="009B7A08">
        <w:rPr>
          <w:rFonts w:eastAsia="Cambria Math"/>
          <w:color w:val="000000" w:themeColor="text1"/>
          <w:w w:val="95"/>
          <w:position w:val="13"/>
        </w:rPr>
        <w:t xml:space="preserve">– </w:t>
      </w:r>
      <w:r w:rsidRPr="009B7A08">
        <w:rPr>
          <w:rFonts w:ascii="Cambria Math" w:eastAsia="Cambria Math" w:hAnsi="Cambria Math" w:cs="Cambria Math"/>
          <w:color w:val="000000" w:themeColor="text1"/>
          <w:w w:val="95"/>
          <w:position w:val="13"/>
        </w:rPr>
        <w:t>𝑛</w:t>
      </w:r>
      <w:r w:rsidRPr="009B7A08">
        <w:rPr>
          <w:rFonts w:eastAsia="Cambria Math"/>
          <w:color w:val="000000" w:themeColor="text1"/>
          <w:w w:val="95"/>
          <w:position w:val="2"/>
        </w:rPr>
        <w:t>/</w:t>
      </w:r>
      <w:r w:rsidRPr="009B7A08">
        <w:rPr>
          <w:rFonts w:ascii="Cambria Math" w:eastAsia="Cambria Math" w:hAnsi="Cambria Math" w:cs="Cambria Math"/>
          <w:color w:val="000000" w:themeColor="text1"/>
          <w:w w:val="95"/>
          <w:position w:val="-9"/>
        </w:rPr>
        <w:t>𝑛</w:t>
      </w:r>
      <w:r w:rsidRPr="009B7A08">
        <w:rPr>
          <w:rFonts w:eastAsia="Cambria Math"/>
          <w:color w:val="000000" w:themeColor="text1"/>
          <w:spacing w:val="4"/>
          <w:w w:val="95"/>
          <w:position w:val="-9"/>
        </w:rPr>
        <w:t xml:space="preserve"> </w:t>
      </w:r>
      <w:r w:rsidRPr="009B7A08">
        <w:rPr>
          <w:rFonts w:eastAsia="Cambria Math"/>
          <w:color w:val="000000" w:themeColor="text1"/>
          <w:w w:val="95"/>
          <w:position w:val="-9"/>
        </w:rPr>
        <w:t xml:space="preserve">– 1                                                      </w:t>
      </w:r>
      <w:proofErr w:type="gramStart"/>
      <w:r w:rsidRPr="009B7A08">
        <w:rPr>
          <w:rFonts w:eastAsia="Cambria Math"/>
          <w:color w:val="000000" w:themeColor="text1"/>
          <w:w w:val="95"/>
          <w:position w:val="-9"/>
        </w:rPr>
        <w:t xml:space="preserve">   </w:t>
      </w:r>
      <w:r w:rsidRPr="009B7A08">
        <w:rPr>
          <w:color w:val="000000" w:themeColor="text1"/>
          <w:shd w:val="clear" w:color="auto" w:fill="FFFFFF"/>
        </w:rPr>
        <w:t>(</w:t>
      </w:r>
      <w:proofErr w:type="gramEnd"/>
      <w:r>
        <w:rPr>
          <w:color w:val="000000" w:themeColor="text1"/>
          <w:shd w:val="clear" w:color="auto" w:fill="FFFFFF"/>
        </w:rPr>
        <w:t>7</w:t>
      </w:r>
      <w:r w:rsidRPr="009B7A08">
        <w:rPr>
          <w:color w:val="000000" w:themeColor="text1"/>
          <w:shd w:val="clear" w:color="auto" w:fill="FFFFFF"/>
        </w:rPr>
        <w:t>)</w:t>
      </w:r>
      <w:r w:rsidRPr="009B7A08">
        <w:rPr>
          <w:rFonts w:eastAsia="Cambria Math"/>
          <w:color w:val="000000" w:themeColor="text1"/>
          <w:w w:val="95"/>
          <w:position w:val="-9"/>
        </w:rPr>
        <w:t xml:space="preserve">       </w:t>
      </w:r>
    </w:p>
    <w:p w14:paraId="22CFAC96" w14:textId="77777777" w:rsidR="00DE74A6" w:rsidRPr="009B7A08" w:rsidRDefault="00DE74A6" w:rsidP="00DE74A6">
      <w:pPr>
        <w:spacing w:line="240" w:lineRule="auto"/>
        <w:ind w:leftChars="0" w:left="0" w:firstLineChars="0" w:firstLine="0"/>
        <w:jc w:val="both"/>
        <w:rPr>
          <w:rFonts w:eastAsia="Cambria Math"/>
          <w:color w:val="000000" w:themeColor="text1"/>
        </w:rPr>
      </w:pPr>
      <w:r w:rsidRPr="009B7A08">
        <w:rPr>
          <w:rFonts w:eastAsia="Cambria Math"/>
          <w:color w:val="000000" w:themeColor="text1"/>
          <w:w w:val="95"/>
          <w:position w:val="-9"/>
        </w:rPr>
        <w:t xml:space="preserve">                                                                                                 </w:t>
      </w:r>
    </w:p>
    <w:p w14:paraId="43A8BD0E" w14:textId="654A92A8" w:rsidR="00E33003" w:rsidRDefault="00DE74A6" w:rsidP="00DE74A6">
      <w:pPr>
        <w:spacing w:line="360" w:lineRule="auto"/>
        <w:ind w:leftChars="0" w:left="0" w:firstLineChars="0" w:firstLine="0"/>
        <w:jc w:val="both"/>
        <w:rPr>
          <w:rStyle w:val="fontstyle01"/>
          <w:rFonts w:ascii="Times New Roman" w:hAnsi="Times New Roman"/>
          <w:color w:val="000000" w:themeColor="text1"/>
        </w:rPr>
      </w:pPr>
      <w:r w:rsidRPr="009B7A08">
        <w:rPr>
          <w:color w:val="000000" w:themeColor="text1"/>
          <w:w w:val="95"/>
        </w:rPr>
        <w:t xml:space="preserve">Onde   λ </w:t>
      </w:r>
      <w:r w:rsidR="00E33003" w:rsidRPr="009B7A08">
        <w:rPr>
          <w:color w:val="000000" w:themeColor="text1"/>
          <w:w w:val="95"/>
          <w:vertAlign w:val="subscript"/>
        </w:rPr>
        <w:t>máx.</w:t>
      </w:r>
      <w:r w:rsidRPr="009B7A08">
        <w:rPr>
          <w:color w:val="000000" w:themeColor="text1"/>
          <w:w w:val="95"/>
          <w:vertAlign w:val="subscript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w w:val="95"/>
                <w:vertAlign w:val="subscript"/>
                <w:lang w:eastAsia="en-US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  <w:color w:val="000000" w:themeColor="text1"/>
                    <w:w w:val="95"/>
                    <w:vertAlign w:val="subscript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w w:val="95"/>
                        <w:vertAlign w:val="subscript"/>
                        <w:lang w:eastAsia="en-US"/>
                      </w:rPr>
                    </m:ctrlPr>
                  </m:sSupPr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Style w:val="fontstyle01"/>
                            <w:rFonts w:ascii="Cambria Math" w:hAnsi="Cambria Math"/>
                            <w:color w:val="000000" w:themeColor="text1"/>
                          </w:rPr>
                          <m:t>k</m:t>
                        </m:r>
                      </m:sub>
                      <m:sup>
                        <m:r>
                          <w:rPr>
                            <w:rStyle w:val="fontstyle01"/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sup>
                      <m:e>
                        <m:r>
                          <w:rPr>
                            <w:rStyle w:val="fontstyle01"/>
                            <w:rFonts w:ascii="Cambria Math" w:hAnsi="Cambria Math"/>
                            <w:color w:val="000000" w:themeColor="text1"/>
                          </w:rPr>
                          <m:t>=1</m:t>
                        </m:r>
                      </m:e>
                    </m:nary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w w:val="95"/>
                            <w:vertAlign w:val="subscript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w w:val="95"/>
                            <w:vertAlign w:val="subscript"/>
                          </w:rPr>
                          <m:t>A x A-Norm</m:t>
                        </m:r>
                      </m:e>
                    </m:d>
                    <m:r>
                      <w:rPr>
                        <w:rFonts w:ascii="Cambria Math" w:hAnsi="Cambria Math"/>
                        <w:color w:val="000000" w:themeColor="text1"/>
                        <w:w w:val="95"/>
                        <w:vertAlign w:val="subscript"/>
                      </w:rPr>
                      <m:t>i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w w:val="95"/>
                    <w:position w:val="13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w w:val="95"/>
                    <w:position w:val="8"/>
                  </w:rPr>
                  <m:t>Max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spacing w:val="27"/>
                    <w:w w:val="95"/>
                    <w:position w:val="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mbria Math" w:hAnsi="Cambria Math"/>
                    <w:color w:val="000000" w:themeColor="text1"/>
                    <w:w w:val="95"/>
                    <w:position w:val="13"/>
                  </w:rPr>
                  <m:t>– n</m:t>
                </m:r>
              </m:den>
            </m:f>
          </m:num>
          <m:den>
            <m:r>
              <w:rPr>
                <w:rFonts w:ascii="Cambria Math" w:hAnsi="Cambria Math"/>
                <w:color w:val="000000" w:themeColor="text1"/>
                <w:w w:val="95"/>
                <w:vertAlign w:val="subscript"/>
              </w:rPr>
              <m:t>n</m:t>
            </m:r>
          </m:den>
        </m:f>
      </m:oMath>
      <w:r w:rsidRPr="009B7A08">
        <w:rPr>
          <w:color w:val="000000" w:themeColor="text1"/>
          <w:w w:val="95"/>
        </w:rPr>
        <w:t xml:space="preserve">   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w w:val="95"/>
                <w:lang w:eastAsia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lang w:eastAsia="en-US"/>
                  </w:rPr>
                </m:ctrlPr>
              </m:naryPr>
              <m:sub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k</m:t>
                </m:r>
              </m:sub>
              <m:sup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n</m:t>
                </m:r>
              </m:sup>
              <m:e>
                <m:r>
                  <w:rPr>
                    <w:rStyle w:val="fontstyle01"/>
                    <w:rFonts w:ascii="Cambria Math" w:hAnsi="Cambria Math"/>
                    <w:color w:val="000000" w:themeColor="text1"/>
                  </w:rPr>
                  <m:t>=1</m:t>
                </m:r>
              </m:e>
            </m:nary>
            <m:r>
              <w:rPr>
                <w:rStyle w:val="fontstyle01"/>
                <w:rFonts w:ascii="Cambria Math" w:hAnsi="Cambria Math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eastAsia="Cambria Math" w:hAnsi="Cambria Math"/>
                <w:color w:val="000000" w:themeColor="text1"/>
                <w:w w:val="95"/>
              </w:rPr>
              <m:t>v</m:t>
            </m:r>
            <m:r>
              <m:rPr>
                <m:sty m:val="p"/>
              </m:rPr>
              <w:rPr>
                <w:rFonts w:ascii="Cambria Math" w:eastAsia="Cambria Math" w:hAnsi="Cambria Math"/>
                <w:color w:val="000000" w:themeColor="text1"/>
                <w:w w:val="95"/>
                <w:position w:val="-4"/>
              </w:rPr>
              <m:t>i</m:t>
            </m:r>
          </m:num>
          <m:den>
            <m:r>
              <w:rPr>
                <w:rFonts w:ascii="Cambria Math" w:hAnsi="Cambria Math"/>
                <w:color w:val="000000" w:themeColor="text1"/>
                <w:w w:val="95"/>
              </w:rPr>
              <m:t>n</m:t>
            </m:r>
          </m:den>
        </m:f>
      </m:oMath>
      <w:r w:rsidRPr="009B7A08">
        <w:rPr>
          <w:rFonts w:eastAsiaTheme="minorEastAsia"/>
          <w:color w:val="000000" w:themeColor="text1"/>
          <w:w w:val="95"/>
        </w:rPr>
        <w:t xml:space="preserve">  </w:t>
      </w:r>
      <w:r w:rsidR="00F971C9">
        <w:rPr>
          <w:rStyle w:val="fontstyle01"/>
          <w:rFonts w:ascii="Times New Roman" w:hAnsi="Times New Roman"/>
          <w:color w:val="000000" w:themeColor="text1"/>
        </w:rPr>
        <w:t xml:space="preserve">, </w:t>
      </w:r>
      <w:r w:rsidRPr="009B7A08">
        <w:rPr>
          <w:rStyle w:val="fontstyle01"/>
          <w:rFonts w:ascii="Times New Roman" w:hAnsi="Times New Roman"/>
          <w:color w:val="000000" w:themeColor="text1"/>
        </w:rPr>
        <w:t xml:space="preserve">denominado de máximo autovalor da matriz </w:t>
      </w:r>
    </w:p>
    <w:p w14:paraId="4DA9B827" w14:textId="6FC6D1D5" w:rsidR="00E94233" w:rsidRDefault="00DE74A6" w:rsidP="00E33003">
      <w:pPr>
        <w:spacing w:line="240" w:lineRule="auto"/>
        <w:ind w:leftChars="0" w:left="0" w:firstLineChars="0" w:firstLine="0"/>
        <w:jc w:val="both"/>
        <w:rPr>
          <w:rStyle w:val="Fontepargpadro1"/>
        </w:rPr>
      </w:pPr>
      <w:proofErr w:type="gramStart"/>
      <w:r w:rsidRPr="009E0005">
        <w:rPr>
          <w:rStyle w:val="Fontepargpadro1"/>
        </w:rPr>
        <w:t>de</w:t>
      </w:r>
      <w:proofErr w:type="gramEnd"/>
      <w:r w:rsidRPr="009E0005">
        <w:rPr>
          <w:rStyle w:val="Fontepargpadro1"/>
        </w:rPr>
        <w:t xml:space="preserve"> comparação (</w:t>
      </w:r>
      <w:r w:rsidR="00E94233">
        <w:rPr>
          <w:rStyle w:val="Fontepargpadro1"/>
          <w:rFonts w:eastAsia="Cambria Math"/>
        </w:rPr>
        <w:t>A</w:t>
      </w:r>
      <w:r w:rsidRPr="009E0005">
        <w:rPr>
          <w:rStyle w:val="Fontepargpadro1"/>
        </w:rPr>
        <w:t>)</w:t>
      </w:r>
      <w:r w:rsidR="00F971C9">
        <w:rPr>
          <w:rStyle w:val="Fontepargpadro1"/>
        </w:rPr>
        <w:t xml:space="preserve">, sendo </w:t>
      </w:r>
      <w:r w:rsidRPr="009E0005">
        <w:rPr>
          <w:rStyle w:val="Fontepargpadro1"/>
        </w:rPr>
        <w:t xml:space="preserve">definido </w:t>
      </w:r>
      <w:r w:rsidR="00F971C9">
        <w:rPr>
          <w:rStyle w:val="Fontepargpadro1"/>
        </w:rPr>
        <w:t>pela</w:t>
      </w:r>
      <w:r w:rsidRPr="009E0005">
        <w:rPr>
          <w:rStyle w:val="Fontepargpadro1"/>
        </w:rPr>
        <w:t xml:space="preserve"> média dos elementos do vetor </w:t>
      </w:r>
      <w:r w:rsidR="00E94233" w:rsidRPr="00EB383C">
        <w:rPr>
          <w:rFonts w:eastAsia="Cambria Math"/>
          <w:color w:val="000000" w:themeColor="text1"/>
          <w:w w:val="95"/>
        </w:rPr>
        <w:t>V</w:t>
      </w:r>
      <w:r w:rsidR="00E94233" w:rsidRPr="00EB383C">
        <w:rPr>
          <w:rFonts w:eastAsia="Cambria Math"/>
          <w:color w:val="000000" w:themeColor="text1"/>
          <w:spacing w:val="47"/>
        </w:rPr>
        <w:t xml:space="preserve"> </w:t>
      </w:r>
      <w:r w:rsidR="00E94233" w:rsidRPr="00EB383C">
        <w:rPr>
          <w:rFonts w:eastAsia="Cambria Math"/>
          <w:color w:val="000000" w:themeColor="text1"/>
          <w:w w:val="95"/>
        </w:rPr>
        <w:t>=</w:t>
      </w:r>
      <w:r w:rsidR="00E94233" w:rsidRPr="00EB383C">
        <w:rPr>
          <w:rFonts w:eastAsia="Cambria Math"/>
          <w:color w:val="000000" w:themeColor="text1"/>
          <w:spacing w:val="48"/>
        </w:rPr>
        <w:t xml:space="preserve"> </w:t>
      </w:r>
      <w:r w:rsidR="00E94233" w:rsidRPr="00EB383C">
        <w:rPr>
          <w:rFonts w:eastAsia="Cambria Math"/>
          <w:color w:val="000000" w:themeColor="text1"/>
          <w:w w:val="95"/>
          <w:position w:val="1"/>
        </w:rPr>
        <w:t>[</w:t>
      </w:r>
      <w:r w:rsidR="00E94233" w:rsidRPr="00EB383C">
        <w:rPr>
          <w:rFonts w:ascii="Cambria Math" w:eastAsia="Cambria Math" w:hAnsi="Cambria Math" w:cs="Cambria Math"/>
          <w:color w:val="000000" w:themeColor="text1"/>
          <w:w w:val="95"/>
        </w:rPr>
        <w:t>𝑣</w:t>
      </w:r>
      <w:r w:rsidR="00E94233" w:rsidRPr="00EB383C">
        <w:rPr>
          <w:rFonts w:ascii="Cambria Math" w:eastAsia="Cambria Math" w:hAnsi="Cambria Math" w:cs="Cambria Math"/>
          <w:color w:val="000000" w:themeColor="text1"/>
          <w:w w:val="95"/>
          <w:position w:val="-4"/>
        </w:rPr>
        <w:t>𝑖</w:t>
      </w:r>
      <w:r w:rsidR="00E94233" w:rsidRPr="00EB383C">
        <w:rPr>
          <w:rFonts w:eastAsia="Cambria Math"/>
          <w:color w:val="000000" w:themeColor="text1"/>
          <w:w w:val="95"/>
          <w:position w:val="-4"/>
        </w:rPr>
        <w:t xml:space="preserve"> </w:t>
      </w:r>
      <w:r w:rsidR="00E94233" w:rsidRPr="00EB383C">
        <w:rPr>
          <w:rFonts w:eastAsia="Cambria Math"/>
          <w:color w:val="000000" w:themeColor="text1"/>
          <w:w w:val="95"/>
          <w:position w:val="1"/>
        </w:rPr>
        <w:t>]</w:t>
      </w:r>
      <w:r w:rsidR="00F971C9">
        <w:rPr>
          <w:color w:val="000000" w:themeColor="text1"/>
          <w:w w:val="95"/>
        </w:rPr>
        <w:t xml:space="preserve"> </w:t>
      </w:r>
      <w:r w:rsidR="00E94233" w:rsidRPr="00EB383C">
        <w:rPr>
          <w:color w:val="000000" w:themeColor="text1"/>
          <w:w w:val="95"/>
        </w:rPr>
        <w:t>que</w:t>
      </w:r>
      <w:r w:rsidR="00F971C9">
        <w:rPr>
          <w:color w:val="000000" w:themeColor="text1"/>
          <w:w w:val="95"/>
        </w:rPr>
        <w:t>,</w:t>
      </w:r>
      <w:r w:rsidR="00E94233" w:rsidRPr="00EB383C">
        <w:rPr>
          <w:color w:val="000000" w:themeColor="text1"/>
          <w:w w:val="95"/>
        </w:rPr>
        <w:t xml:space="preserve"> </w:t>
      </w:r>
      <w:r w:rsidR="00F971C9">
        <w:rPr>
          <w:color w:val="000000" w:themeColor="text1"/>
          <w:w w:val="95"/>
        </w:rPr>
        <w:t xml:space="preserve">por sua vez, </w:t>
      </w:r>
      <w:r w:rsidR="00E94233" w:rsidRPr="00EB383C">
        <w:rPr>
          <w:color w:val="000000" w:themeColor="text1"/>
          <w:w w:val="95"/>
        </w:rPr>
        <w:t>é resultante</w:t>
      </w:r>
      <w:r w:rsidR="00E94233" w:rsidRPr="00EB383C">
        <w:rPr>
          <w:color w:val="000000" w:themeColor="text1"/>
          <w:spacing w:val="1"/>
          <w:w w:val="95"/>
        </w:rPr>
        <w:t xml:space="preserve"> </w:t>
      </w:r>
      <w:r w:rsidR="00E94233" w:rsidRPr="00EB383C">
        <w:rPr>
          <w:color w:val="000000" w:themeColor="text1"/>
        </w:rPr>
        <w:t>da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divisão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de</w:t>
      </w:r>
      <w:r w:rsidR="00E94233" w:rsidRPr="00EB383C">
        <w:rPr>
          <w:color w:val="000000" w:themeColor="text1"/>
          <w:spacing w:val="-5"/>
        </w:rPr>
        <w:t xml:space="preserve"> </w:t>
      </w:r>
      <w:r w:rsidR="00E94233" w:rsidRPr="00EB383C">
        <w:rPr>
          <w:color w:val="000000" w:themeColor="text1"/>
        </w:rPr>
        <w:t>cada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elemento</w:t>
      </w:r>
      <w:r w:rsidR="00E94233" w:rsidRPr="00EB383C">
        <w:rPr>
          <w:color w:val="000000" w:themeColor="text1"/>
          <w:spacing w:val="-5"/>
        </w:rPr>
        <w:t xml:space="preserve"> </w:t>
      </w:r>
      <w:r w:rsidR="00E94233" w:rsidRPr="00EB383C">
        <w:rPr>
          <w:color w:val="000000" w:themeColor="text1"/>
        </w:rPr>
        <w:t>da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multiplicação</w:t>
      </w:r>
      <w:r w:rsidR="00E94233" w:rsidRPr="00EB383C">
        <w:rPr>
          <w:color w:val="000000" w:themeColor="text1"/>
          <w:spacing w:val="-5"/>
        </w:rPr>
        <w:t xml:space="preserve"> </w:t>
      </w:r>
      <w:r w:rsidR="00E94233" w:rsidRPr="00EB383C">
        <w:rPr>
          <w:color w:val="000000" w:themeColor="text1"/>
        </w:rPr>
        <w:t>da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matriz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de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comparação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(</w:t>
      </w:r>
      <w:r w:rsidR="00E94233" w:rsidRPr="00EB383C">
        <w:rPr>
          <w:rFonts w:ascii="Cambria Math" w:eastAsia="Cambria Math" w:hAnsi="Cambria Math" w:cs="Cambria Math"/>
          <w:color w:val="000000" w:themeColor="text1"/>
        </w:rPr>
        <w:t>𝐴</w:t>
      </w:r>
      <w:r w:rsidR="00E94233" w:rsidRPr="00EB383C">
        <w:rPr>
          <w:color w:val="000000" w:themeColor="text1"/>
        </w:rPr>
        <w:t>)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pelo</w:t>
      </w:r>
      <w:r w:rsidR="00E94233" w:rsidRPr="00EB383C">
        <w:rPr>
          <w:color w:val="000000" w:themeColor="text1"/>
          <w:spacing w:val="-7"/>
        </w:rPr>
        <w:t xml:space="preserve"> </w:t>
      </w:r>
      <w:r w:rsidR="00E94233" w:rsidRPr="00EB383C">
        <w:rPr>
          <w:color w:val="000000" w:themeColor="text1"/>
        </w:rPr>
        <w:t>vetor</w:t>
      </w:r>
      <w:r w:rsidR="00E94233" w:rsidRPr="00EB383C">
        <w:rPr>
          <w:color w:val="000000" w:themeColor="text1"/>
          <w:spacing w:val="-5"/>
        </w:rPr>
        <w:t xml:space="preserve"> </w:t>
      </w:r>
      <w:r w:rsidR="00E94233" w:rsidRPr="00EB383C">
        <w:rPr>
          <w:color w:val="000000" w:themeColor="text1"/>
        </w:rPr>
        <w:t>de</w:t>
      </w:r>
      <w:r w:rsidR="00E94233" w:rsidRPr="00EB383C">
        <w:rPr>
          <w:color w:val="000000" w:themeColor="text1"/>
          <w:spacing w:val="-6"/>
        </w:rPr>
        <w:t xml:space="preserve"> </w:t>
      </w:r>
      <w:r w:rsidR="00E94233" w:rsidRPr="00EB383C">
        <w:rPr>
          <w:color w:val="000000" w:themeColor="text1"/>
        </w:rPr>
        <w:t>pesos</w:t>
      </w:r>
      <w:r w:rsidR="00E94233" w:rsidRPr="00EB383C">
        <w:rPr>
          <w:color w:val="000000" w:themeColor="text1"/>
          <w:spacing w:val="-50"/>
        </w:rPr>
        <w:t xml:space="preserve"> </w:t>
      </w:r>
      <w:r w:rsidR="00F971C9">
        <w:rPr>
          <w:color w:val="000000" w:themeColor="text1"/>
          <w:spacing w:val="-50"/>
        </w:rPr>
        <w:t xml:space="preserve"> </w:t>
      </w:r>
      <w:r w:rsidR="00E94233" w:rsidRPr="00EB383C">
        <w:rPr>
          <w:rFonts w:eastAsia="Cambria Math"/>
          <w:color w:val="000000" w:themeColor="text1"/>
        </w:rPr>
        <w:t>(</w:t>
      </w:r>
      <w:r w:rsidR="00E94233" w:rsidRPr="00EB383C">
        <w:rPr>
          <w:rFonts w:ascii="Cambria Math" w:eastAsia="Cambria Math" w:hAnsi="Cambria Math" w:cs="Cambria Math"/>
          <w:color w:val="000000" w:themeColor="text1"/>
        </w:rPr>
        <w:t>𝐴</w:t>
      </w:r>
      <w:r w:rsidR="00E94233" w:rsidRPr="00EB383C">
        <w:rPr>
          <w:rFonts w:eastAsia="Cambria Math"/>
          <w:color w:val="000000" w:themeColor="text1"/>
        </w:rPr>
        <w:t xml:space="preserve"> −</w:t>
      </w:r>
      <w:r w:rsidR="00E94233" w:rsidRPr="00EB383C">
        <w:rPr>
          <w:rFonts w:eastAsia="Cambria Math"/>
          <w:color w:val="000000" w:themeColor="text1"/>
          <w:spacing w:val="-2"/>
        </w:rPr>
        <w:t xml:space="preserve"> </w:t>
      </w:r>
      <w:r w:rsidR="00E94233" w:rsidRPr="00EB383C">
        <w:rPr>
          <w:rFonts w:ascii="Cambria Math" w:eastAsia="Cambria Math" w:hAnsi="Cambria Math" w:cs="Cambria Math"/>
          <w:color w:val="000000" w:themeColor="text1"/>
        </w:rPr>
        <w:t>𝑁𝑜𝑟𝑚</w:t>
      </w:r>
      <w:r w:rsidR="00E94233" w:rsidRPr="00EB383C">
        <w:rPr>
          <w:rFonts w:eastAsia="Cambria Math"/>
          <w:color w:val="000000" w:themeColor="text1"/>
        </w:rPr>
        <w:t>)</w:t>
      </w:r>
      <w:r w:rsidR="00AE0663">
        <w:rPr>
          <w:rFonts w:eastAsia="Cambria Math"/>
          <w:color w:val="000000" w:themeColor="text1"/>
        </w:rPr>
        <w:t>, cujo cálculo está expresso na Eq. 4</w:t>
      </w:r>
      <w:r w:rsidR="00E94233" w:rsidRPr="00EB383C">
        <w:rPr>
          <w:color w:val="000000" w:themeColor="text1"/>
        </w:rPr>
        <w:t>.</w:t>
      </w:r>
      <w:r w:rsidR="00E94233">
        <w:rPr>
          <w:rStyle w:val="Fontepargpadro1"/>
        </w:rPr>
        <w:t xml:space="preserve"> </w:t>
      </w:r>
    </w:p>
    <w:p w14:paraId="4501700C" w14:textId="77777777" w:rsidR="00E94233" w:rsidRDefault="00E94233" w:rsidP="00E33003">
      <w:pPr>
        <w:spacing w:line="240" w:lineRule="auto"/>
        <w:ind w:leftChars="0" w:left="0" w:firstLineChars="0" w:firstLine="0"/>
        <w:jc w:val="both"/>
        <w:rPr>
          <w:rStyle w:val="Fontepargpadro1"/>
        </w:rPr>
      </w:pPr>
    </w:p>
    <w:p w14:paraId="141CBB0E" w14:textId="353FC926" w:rsidR="00DE74A6" w:rsidRDefault="00A9790B" w:rsidP="00E33003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 w:rsidRPr="007C66F3">
        <w:rPr>
          <w:color w:val="000000" w:themeColor="text1"/>
        </w:rPr>
        <w:t xml:space="preserve">A Tabela </w:t>
      </w:r>
      <w:r>
        <w:rPr>
          <w:color w:val="000000" w:themeColor="text1"/>
        </w:rPr>
        <w:t>3, de Saaty (1991),</w:t>
      </w:r>
      <w:r w:rsidRPr="007C66F3">
        <w:rPr>
          <w:color w:val="000000" w:themeColor="text1"/>
        </w:rPr>
        <w:t xml:space="preserve"> apresenta os índices de inconsistência </w:t>
      </w:r>
      <w:r>
        <w:rPr>
          <w:color w:val="000000" w:themeColor="text1"/>
        </w:rPr>
        <w:t>de acordo com a ordem da matriz.</w:t>
      </w:r>
    </w:p>
    <w:p w14:paraId="6B149596" w14:textId="77777777" w:rsidR="004D0670" w:rsidRDefault="004D0670" w:rsidP="00E33003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2F13692F" w14:textId="74AFA349" w:rsidR="00A9790B" w:rsidRPr="000F42A1" w:rsidRDefault="00A9790B" w:rsidP="00A9790B">
      <w:pPr>
        <w:pStyle w:val="Legenda"/>
        <w:spacing w:before="0" w:line="240" w:lineRule="auto"/>
        <w:rPr>
          <w:color w:val="000000" w:themeColor="text1"/>
          <w:sz w:val="20"/>
        </w:rPr>
      </w:pPr>
      <w:r w:rsidRPr="000F42A1">
        <w:rPr>
          <w:b/>
          <w:color w:val="000000" w:themeColor="text1"/>
          <w:sz w:val="20"/>
        </w:rPr>
        <w:t xml:space="preserve">Tabela </w:t>
      </w:r>
      <w:r>
        <w:rPr>
          <w:b/>
          <w:color w:val="000000" w:themeColor="text1"/>
          <w:sz w:val="20"/>
        </w:rPr>
        <w:t>3</w:t>
      </w:r>
      <w:r w:rsidRPr="000F42A1">
        <w:rPr>
          <w:color w:val="000000" w:themeColor="text1"/>
          <w:sz w:val="20"/>
          <w:lang w:eastAsia="pt-BR"/>
        </w:rPr>
        <w:t xml:space="preserve"> - </w:t>
      </w:r>
      <w:r w:rsidRPr="000F42A1">
        <w:rPr>
          <w:color w:val="000000" w:themeColor="text1"/>
          <w:sz w:val="20"/>
        </w:rPr>
        <w:t>Índices</w:t>
      </w:r>
      <w:r w:rsidRPr="000F42A1">
        <w:rPr>
          <w:color w:val="000000" w:themeColor="text1"/>
          <w:spacing w:val="-1"/>
          <w:sz w:val="20"/>
        </w:rPr>
        <w:t xml:space="preserve"> </w:t>
      </w:r>
      <w:r w:rsidRPr="000F42A1">
        <w:rPr>
          <w:color w:val="000000" w:themeColor="text1"/>
          <w:sz w:val="20"/>
        </w:rPr>
        <w:t>randômicos</w:t>
      </w:r>
      <w:r w:rsidRPr="000F42A1">
        <w:rPr>
          <w:color w:val="000000" w:themeColor="text1"/>
          <w:spacing w:val="-4"/>
          <w:sz w:val="20"/>
        </w:rPr>
        <w:t xml:space="preserve"> </w:t>
      </w:r>
      <w:r w:rsidRPr="000F42A1">
        <w:rPr>
          <w:color w:val="000000" w:themeColor="text1"/>
          <w:sz w:val="20"/>
        </w:rPr>
        <w:t>médios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do</w:t>
      </w:r>
      <w:r w:rsidRPr="000F42A1">
        <w:rPr>
          <w:color w:val="000000" w:themeColor="text1"/>
          <w:spacing w:val="-1"/>
          <w:sz w:val="20"/>
        </w:rPr>
        <w:t xml:space="preserve"> </w:t>
      </w:r>
      <w:r w:rsidRPr="000F42A1">
        <w:rPr>
          <w:color w:val="000000" w:themeColor="text1"/>
          <w:sz w:val="20"/>
        </w:rPr>
        <w:t>método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AHP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em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função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do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tamanho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i/>
          <w:color w:val="000000" w:themeColor="text1"/>
          <w:sz w:val="20"/>
        </w:rPr>
        <w:t>N</w:t>
      </w:r>
      <w:r w:rsidRPr="000F42A1">
        <w:rPr>
          <w:i/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da</w:t>
      </w:r>
      <w:r w:rsidRPr="000F42A1">
        <w:rPr>
          <w:color w:val="000000" w:themeColor="text1"/>
          <w:spacing w:val="-2"/>
          <w:sz w:val="20"/>
        </w:rPr>
        <w:t xml:space="preserve"> </w:t>
      </w:r>
      <w:r w:rsidRPr="000F42A1">
        <w:rPr>
          <w:color w:val="000000" w:themeColor="text1"/>
          <w:sz w:val="20"/>
        </w:rPr>
        <w:t>matriz</w:t>
      </w:r>
      <w:r w:rsidRPr="000F42A1">
        <w:rPr>
          <w:color w:val="000000" w:themeColor="text1"/>
          <w:sz w:val="20"/>
          <w:shd w:val="clear" w:color="auto" w:fill="FFFFFF"/>
        </w:rPr>
        <w:t>.</w:t>
      </w:r>
    </w:p>
    <w:tbl>
      <w:tblPr>
        <w:tblStyle w:val="TableNormal"/>
        <w:tblW w:w="9045" w:type="dxa"/>
        <w:jc w:val="center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5"/>
        <w:gridCol w:w="561"/>
        <w:gridCol w:w="561"/>
        <w:gridCol w:w="561"/>
        <w:gridCol w:w="561"/>
        <w:gridCol w:w="563"/>
        <w:gridCol w:w="562"/>
        <w:gridCol w:w="562"/>
        <w:gridCol w:w="563"/>
        <w:gridCol w:w="563"/>
        <w:gridCol w:w="562"/>
        <w:gridCol w:w="562"/>
        <w:gridCol w:w="563"/>
        <w:gridCol w:w="562"/>
        <w:gridCol w:w="589"/>
      </w:tblGrid>
      <w:tr w:rsidR="00A9790B" w:rsidRPr="000F42A1" w14:paraId="175ABBB9" w14:textId="77777777" w:rsidTr="00296777">
        <w:trPr>
          <w:trHeight w:val="301"/>
          <w:jc w:val="center"/>
        </w:trPr>
        <w:tc>
          <w:tcPr>
            <w:tcW w:w="426" w:type="dxa"/>
            <w:vAlign w:val="center"/>
            <w:hideMark/>
          </w:tcPr>
          <w:p w14:paraId="16B6FA55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726" w:type="dxa"/>
            <w:vAlign w:val="center"/>
            <w:hideMark/>
          </w:tcPr>
          <w:p w14:paraId="04AE4295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  <w:hideMark/>
          </w:tcPr>
          <w:p w14:paraId="2C3D0E58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center"/>
            <w:hideMark/>
          </w:tcPr>
          <w:p w14:paraId="3D5C12FF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center"/>
            <w:hideMark/>
          </w:tcPr>
          <w:p w14:paraId="10518FFD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center"/>
            <w:hideMark/>
          </w:tcPr>
          <w:p w14:paraId="240D9E1A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3" w:type="dxa"/>
            <w:vAlign w:val="center"/>
            <w:hideMark/>
          </w:tcPr>
          <w:p w14:paraId="3976FFF9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2" w:type="dxa"/>
            <w:vAlign w:val="center"/>
            <w:hideMark/>
          </w:tcPr>
          <w:p w14:paraId="2546B399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2" w:type="dxa"/>
            <w:vAlign w:val="center"/>
            <w:hideMark/>
          </w:tcPr>
          <w:p w14:paraId="2464BAA4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3" w:type="dxa"/>
            <w:vAlign w:val="center"/>
            <w:hideMark/>
          </w:tcPr>
          <w:p w14:paraId="4758F90C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3" w:type="dxa"/>
            <w:vAlign w:val="center"/>
            <w:hideMark/>
          </w:tcPr>
          <w:p w14:paraId="3B572889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2" w:type="dxa"/>
            <w:vAlign w:val="center"/>
            <w:hideMark/>
          </w:tcPr>
          <w:p w14:paraId="19BAEE2F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2" w:type="dxa"/>
            <w:vAlign w:val="center"/>
            <w:hideMark/>
          </w:tcPr>
          <w:p w14:paraId="33502F75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3" w:type="dxa"/>
            <w:vAlign w:val="center"/>
            <w:hideMark/>
          </w:tcPr>
          <w:p w14:paraId="26395FB1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2" w:type="dxa"/>
            <w:vAlign w:val="center"/>
            <w:hideMark/>
          </w:tcPr>
          <w:p w14:paraId="0218C805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9" w:type="dxa"/>
            <w:vAlign w:val="center"/>
            <w:hideMark/>
          </w:tcPr>
          <w:p w14:paraId="0BBE1C92" w14:textId="77777777" w:rsidR="00A9790B" w:rsidRPr="000F42A1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A9790B" w:rsidRPr="00527D76" w14:paraId="1590B127" w14:textId="77777777" w:rsidTr="00296777">
        <w:trPr>
          <w:trHeight w:val="301"/>
          <w:jc w:val="center"/>
        </w:trPr>
        <w:tc>
          <w:tcPr>
            <w:tcW w:w="426" w:type="dxa"/>
            <w:vAlign w:val="center"/>
            <w:hideMark/>
          </w:tcPr>
          <w:p w14:paraId="0EE078E6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</w:t>
            </w:r>
          </w:p>
        </w:tc>
        <w:tc>
          <w:tcPr>
            <w:tcW w:w="726" w:type="dxa"/>
            <w:vAlign w:val="center"/>
            <w:hideMark/>
          </w:tcPr>
          <w:p w14:paraId="548ACBD5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14:paraId="6BBA9C61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14:paraId="710E3045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0,52</w:t>
            </w:r>
          </w:p>
        </w:tc>
        <w:tc>
          <w:tcPr>
            <w:tcW w:w="562" w:type="dxa"/>
            <w:vAlign w:val="center"/>
            <w:hideMark/>
          </w:tcPr>
          <w:p w14:paraId="485EAACC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0,89</w:t>
            </w:r>
          </w:p>
        </w:tc>
        <w:tc>
          <w:tcPr>
            <w:tcW w:w="562" w:type="dxa"/>
            <w:vAlign w:val="center"/>
            <w:hideMark/>
          </w:tcPr>
          <w:p w14:paraId="72CB24F4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1,11</w:t>
            </w:r>
          </w:p>
        </w:tc>
        <w:tc>
          <w:tcPr>
            <w:tcW w:w="563" w:type="dxa"/>
            <w:vAlign w:val="center"/>
            <w:hideMark/>
          </w:tcPr>
          <w:p w14:paraId="7655A477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562" w:type="dxa"/>
            <w:vAlign w:val="center"/>
            <w:hideMark/>
          </w:tcPr>
          <w:p w14:paraId="4E9364F0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1,35</w:t>
            </w:r>
          </w:p>
        </w:tc>
        <w:tc>
          <w:tcPr>
            <w:tcW w:w="562" w:type="dxa"/>
            <w:vAlign w:val="center"/>
            <w:hideMark/>
          </w:tcPr>
          <w:p w14:paraId="079420D6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1,40</w:t>
            </w:r>
          </w:p>
        </w:tc>
        <w:tc>
          <w:tcPr>
            <w:tcW w:w="563" w:type="dxa"/>
            <w:vAlign w:val="center"/>
            <w:hideMark/>
          </w:tcPr>
          <w:p w14:paraId="58BC5675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1,45</w:t>
            </w:r>
          </w:p>
        </w:tc>
        <w:tc>
          <w:tcPr>
            <w:tcW w:w="563" w:type="dxa"/>
            <w:vAlign w:val="center"/>
            <w:hideMark/>
          </w:tcPr>
          <w:p w14:paraId="4C4DA07E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1,49</w:t>
            </w:r>
          </w:p>
        </w:tc>
        <w:tc>
          <w:tcPr>
            <w:tcW w:w="562" w:type="dxa"/>
            <w:vAlign w:val="center"/>
            <w:hideMark/>
          </w:tcPr>
          <w:p w14:paraId="5912E161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1,51</w:t>
            </w:r>
          </w:p>
        </w:tc>
        <w:tc>
          <w:tcPr>
            <w:tcW w:w="562" w:type="dxa"/>
            <w:vAlign w:val="center"/>
            <w:hideMark/>
          </w:tcPr>
          <w:p w14:paraId="445D3DC0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1,48</w:t>
            </w:r>
          </w:p>
        </w:tc>
        <w:tc>
          <w:tcPr>
            <w:tcW w:w="563" w:type="dxa"/>
            <w:vAlign w:val="center"/>
            <w:hideMark/>
          </w:tcPr>
          <w:p w14:paraId="4816BDB9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1,56</w:t>
            </w:r>
          </w:p>
        </w:tc>
        <w:tc>
          <w:tcPr>
            <w:tcW w:w="562" w:type="dxa"/>
            <w:vAlign w:val="center"/>
            <w:hideMark/>
          </w:tcPr>
          <w:p w14:paraId="2B794D48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1,57</w:t>
            </w:r>
          </w:p>
        </w:tc>
        <w:tc>
          <w:tcPr>
            <w:tcW w:w="589" w:type="dxa"/>
            <w:vAlign w:val="center"/>
            <w:hideMark/>
          </w:tcPr>
          <w:p w14:paraId="67968C49" w14:textId="77777777" w:rsidR="00A9790B" w:rsidRPr="00527D76" w:rsidRDefault="00A9790B" w:rsidP="00BB65C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D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1,59</w:t>
            </w:r>
          </w:p>
        </w:tc>
      </w:tr>
    </w:tbl>
    <w:p w14:paraId="6AE8D678" w14:textId="77777777" w:rsidR="00A9790B" w:rsidRPr="000F42A1" w:rsidRDefault="00A9790B" w:rsidP="00A9790B">
      <w:pPr>
        <w:spacing w:line="240" w:lineRule="auto"/>
        <w:ind w:leftChars="0" w:left="0" w:firstLineChars="0" w:firstLine="0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Pr="00527D76">
        <w:rPr>
          <w:color w:val="000000" w:themeColor="text1"/>
          <w:sz w:val="20"/>
          <w:szCs w:val="20"/>
        </w:rPr>
        <w:t xml:space="preserve"> Saaty (1991).</w:t>
      </w:r>
    </w:p>
    <w:p w14:paraId="0178A75E" w14:textId="77777777" w:rsidR="00A9790B" w:rsidRDefault="00A9790B" w:rsidP="00A9790B">
      <w:pPr>
        <w:spacing w:line="240" w:lineRule="auto"/>
        <w:ind w:leftChars="0" w:left="0" w:firstLineChars="0" w:firstLine="0"/>
        <w:jc w:val="both"/>
      </w:pPr>
    </w:p>
    <w:p w14:paraId="29998CA0" w14:textId="2405EB5C" w:rsidR="009E0005" w:rsidRDefault="00D85D95" w:rsidP="00F75661">
      <w:pPr>
        <w:spacing w:line="240" w:lineRule="auto"/>
        <w:ind w:leftChars="0" w:left="0" w:firstLineChars="0" w:firstLine="0"/>
        <w:jc w:val="both"/>
      </w:pPr>
      <w:r>
        <w:t>Partindo do método AHP</w:t>
      </w:r>
      <w:r w:rsidR="004D0670">
        <w:t>,</w:t>
      </w:r>
      <w:r>
        <w:t xml:space="preserve"> pode-se utilizar </w:t>
      </w:r>
      <w:r w:rsidR="004D0670">
        <w:t xml:space="preserve">ferramentas para verificação da consistência das comparações no sentindo de validar os julgamentos obtidos. Assim, </w:t>
      </w:r>
      <w:r>
        <w:t xml:space="preserve">o </w:t>
      </w:r>
      <w:r w:rsidRPr="00E97052">
        <w:rPr>
          <w:i/>
        </w:rPr>
        <w:t>software Superdecisions</w:t>
      </w:r>
      <w:r w:rsidRPr="002C5CC5">
        <w:t xml:space="preserve"> </w:t>
      </w:r>
      <w:r w:rsidR="009E0005">
        <w:t xml:space="preserve">pode ser </w:t>
      </w:r>
      <w:r w:rsidR="004D0670">
        <w:t>utilizado</w:t>
      </w:r>
      <w:r w:rsidR="009E0005">
        <w:t xml:space="preserve"> para testar a qualidade da análise dos critérios e suas respectivas ponderações, como ato confirmatório das conclusões, valendo também para situações que envolvam um grande número de critérios, em que o método AHP tenha uma aplicação mais complexa</w:t>
      </w:r>
      <w:r w:rsidR="00397AD5">
        <w:t xml:space="preserve"> e a necessidade de um esforço computacional mais robusto.</w:t>
      </w:r>
    </w:p>
    <w:p w14:paraId="4F73122D" w14:textId="33B959DA" w:rsidR="00130A0D" w:rsidRDefault="00397AD5" w:rsidP="00F75661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ED792FC" w14:textId="29305402" w:rsidR="00F75661" w:rsidRPr="00397AD5" w:rsidRDefault="00D85D95" w:rsidP="00F75661">
      <w:pPr>
        <w:spacing w:line="240" w:lineRule="auto"/>
        <w:ind w:leftChars="0" w:left="0" w:firstLineChars="0" w:firstLine="0"/>
        <w:jc w:val="both"/>
        <w:rPr>
          <w:color w:val="000000" w:themeColor="text1"/>
          <w:position w:val="1"/>
        </w:rPr>
      </w:pPr>
      <w:r>
        <w:rPr>
          <w:color w:val="000000" w:themeColor="text1"/>
          <w:position w:val="1"/>
        </w:rPr>
        <w:t>D</w:t>
      </w:r>
      <w:r w:rsidR="00E33003">
        <w:rPr>
          <w:color w:val="000000" w:themeColor="text1"/>
          <w:position w:val="1"/>
        </w:rPr>
        <w:t xml:space="preserve">entre os </w:t>
      </w:r>
      <w:r>
        <w:rPr>
          <w:color w:val="000000" w:themeColor="text1"/>
          <w:position w:val="1"/>
        </w:rPr>
        <w:t>estudos existe</w:t>
      </w:r>
      <w:r w:rsidR="00E33003">
        <w:rPr>
          <w:color w:val="000000" w:themeColor="text1"/>
          <w:position w:val="1"/>
        </w:rPr>
        <w:t>ntes de</w:t>
      </w:r>
      <w:r>
        <w:rPr>
          <w:color w:val="000000" w:themeColor="text1"/>
          <w:position w:val="1"/>
        </w:rPr>
        <w:t xml:space="preserve"> combinação </w:t>
      </w:r>
      <w:r w:rsidR="00F75661">
        <w:rPr>
          <w:color w:val="000000" w:themeColor="text1"/>
          <w:position w:val="1"/>
        </w:rPr>
        <w:t xml:space="preserve">do Método AHP </w:t>
      </w:r>
      <w:r>
        <w:rPr>
          <w:color w:val="000000" w:themeColor="text1"/>
          <w:position w:val="1"/>
        </w:rPr>
        <w:t xml:space="preserve">e o </w:t>
      </w:r>
      <w:r w:rsidRPr="009E0005">
        <w:rPr>
          <w:i/>
          <w:iCs/>
          <w:color w:val="000000" w:themeColor="text1"/>
          <w:position w:val="1"/>
        </w:rPr>
        <w:t>software Superdecisions</w:t>
      </w:r>
      <w:r w:rsidR="00F75661">
        <w:rPr>
          <w:color w:val="000000" w:themeColor="text1"/>
          <w:position w:val="1"/>
        </w:rPr>
        <w:t>, de</w:t>
      </w:r>
      <w:r w:rsidR="00E33003">
        <w:rPr>
          <w:color w:val="000000" w:themeColor="text1"/>
          <w:position w:val="1"/>
        </w:rPr>
        <w:t xml:space="preserve">staca-se </w:t>
      </w:r>
      <w:r w:rsidR="00F75661">
        <w:rPr>
          <w:color w:val="000000" w:themeColor="text1"/>
          <w:position w:val="1"/>
        </w:rPr>
        <w:t xml:space="preserve">o trabalho de Aranha </w:t>
      </w:r>
      <w:r w:rsidR="00F75661">
        <w:rPr>
          <w:i/>
          <w:iCs/>
          <w:color w:val="000000" w:themeColor="text1"/>
          <w:position w:val="1"/>
        </w:rPr>
        <w:t xml:space="preserve">et al </w:t>
      </w:r>
      <w:r w:rsidR="00F75661">
        <w:rPr>
          <w:color w:val="000000" w:themeColor="text1"/>
          <w:position w:val="1"/>
        </w:rPr>
        <w:t>(2017), que abordou o conceito de porto concentrador (</w:t>
      </w:r>
      <w:r w:rsidR="00F75661">
        <w:rPr>
          <w:i/>
          <w:iCs/>
          <w:color w:val="000000" w:themeColor="text1"/>
          <w:position w:val="1"/>
        </w:rPr>
        <w:t xml:space="preserve">hub </w:t>
      </w:r>
      <w:proofErr w:type="spellStart"/>
      <w:r w:rsidR="00F75661">
        <w:rPr>
          <w:i/>
          <w:iCs/>
          <w:color w:val="000000" w:themeColor="text1"/>
          <w:position w:val="1"/>
        </w:rPr>
        <w:t>port</w:t>
      </w:r>
      <w:proofErr w:type="spellEnd"/>
      <w:r w:rsidR="00F75661">
        <w:rPr>
          <w:color w:val="000000" w:themeColor="text1"/>
          <w:position w:val="1"/>
        </w:rPr>
        <w:t xml:space="preserve">) com base em um </w:t>
      </w:r>
      <w:r w:rsidR="00F75661">
        <w:rPr>
          <w:i/>
          <w:iCs/>
          <w:color w:val="000000" w:themeColor="text1"/>
          <w:position w:val="1"/>
        </w:rPr>
        <w:t xml:space="preserve">benchmarking </w:t>
      </w:r>
      <w:r w:rsidR="00F75661">
        <w:rPr>
          <w:color w:val="000000" w:themeColor="text1"/>
          <w:position w:val="1"/>
        </w:rPr>
        <w:t xml:space="preserve">genérico, comparando os principais portos do mundo, com o objetivo de hierarquizar indicadores, no âmbito de um estudo para viabilizar um porto no litoral norte do Estado do Pará. Em outra perspectiva, Benjamim (2021) caracterizou a posição do Brasil em relação ao mercado internacional de reciclagem, apontando os principais critérios competitivos do Brasil, assim como os critérios-chave a serem melhorados para a </w:t>
      </w:r>
      <w:r w:rsidR="00F75661" w:rsidRPr="00397AD5">
        <w:rPr>
          <w:color w:val="000000" w:themeColor="text1"/>
          <w:position w:val="1"/>
        </w:rPr>
        <w:t xml:space="preserve">inserção nesta indústria.  </w:t>
      </w:r>
    </w:p>
    <w:p w14:paraId="785A4AC6" w14:textId="77777777" w:rsidR="00F75661" w:rsidRPr="00397AD5" w:rsidRDefault="00F75661" w:rsidP="00F75661">
      <w:pPr>
        <w:spacing w:line="240" w:lineRule="auto"/>
        <w:ind w:leftChars="0" w:left="0" w:firstLineChars="0" w:firstLine="0"/>
        <w:jc w:val="both"/>
        <w:rPr>
          <w:i/>
          <w:iCs/>
          <w:color w:val="000000" w:themeColor="text1"/>
          <w:position w:val="1"/>
        </w:rPr>
      </w:pPr>
    </w:p>
    <w:p w14:paraId="204FBFA3" w14:textId="7BB7DC5B" w:rsidR="00A06676" w:rsidRPr="00397AD5" w:rsidRDefault="00433ED4" w:rsidP="00A06676">
      <w:pPr>
        <w:spacing w:line="240" w:lineRule="auto"/>
        <w:ind w:leftChars="0" w:left="0" w:firstLineChars="0" w:firstLine="0"/>
        <w:jc w:val="both"/>
      </w:pPr>
      <w:r>
        <w:t>3</w:t>
      </w:r>
      <w:r w:rsidR="00A06676" w:rsidRPr="00397AD5">
        <w:t>.2. Aplicação ao Porto de Santana</w:t>
      </w:r>
    </w:p>
    <w:p w14:paraId="1B1A0811" w14:textId="77777777" w:rsidR="00CC7C74" w:rsidRPr="00397AD5" w:rsidRDefault="00CC7C74" w:rsidP="00BD3A13">
      <w:pPr>
        <w:spacing w:line="240" w:lineRule="auto"/>
        <w:ind w:leftChars="0" w:left="0" w:firstLineChars="0" w:firstLine="0"/>
        <w:jc w:val="both"/>
      </w:pPr>
    </w:p>
    <w:p w14:paraId="0CE1BF4E" w14:textId="527642A1" w:rsidR="004108F1" w:rsidRDefault="00E33003" w:rsidP="00BD3A13">
      <w:pPr>
        <w:spacing w:line="240" w:lineRule="auto"/>
        <w:ind w:leftChars="0" w:left="0" w:firstLineChars="0" w:firstLine="0"/>
        <w:jc w:val="both"/>
      </w:pPr>
      <w:r w:rsidRPr="00397AD5">
        <w:t>A aplicação do método AHP seguiu as etapas da Figura 2</w:t>
      </w:r>
      <w:r w:rsidR="00357370" w:rsidRPr="00397AD5">
        <w:t>, iniciando por reuniões prévias no Porto de Santana para obter as</w:t>
      </w:r>
      <w:r w:rsidR="00316D57" w:rsidRPr="00397AD5">
        <w:t xml:space="preserve"> percepç</w:t>
      </w:r>
      <w:r w:rsidR="00DE78B4" w:rsidRPr="00397AD5">
        <w:t>ões</w:t>
      </w:r>
      <w:r w:rsidR="00316D57" w:rsidRPr="00397AD5">
        <w:t xml:space="preserve"> dos </w:t>
      </w:r>
      <w:r w:rsidR="00BA285B" w:rsidRPr="00397AD5">
        <w:rPr>
          <w:i/>
        </w:rPr>
        <w:t>s</w:t>
      </w:r>
      <w:r w:rsidR="00316D57" w:rsidRPr="00397AD5">
        <w:rPr>
          <w:i/>
        </w:rPr>
        <w:t>takeholders</w:t>
      </w:r>
      <w:r w:rsidR="00357370" w:rsidRPr="00397AD5">
        <w:t>, em</w:t>
      </w:r>
      <w:r w:rsidR="00C33BCF" w:rsidRPr="00397AD5">
        <w:t xml:space="preserve"> </w:t>
      </w:r>
      <w:r w:rsidR="001270F2" w:rsidRPr="00397AD5">
        <w:t>t</w:t>
      </w:r>
      <w:r w:rsidR="00BE6DD6" w:rsidRPr="00397AD5">
        <w:t xml:space="preserve">rês </w:t>
      </w:r>
      <w:r w:rsidR="00C33BCF" w:rsidRPr="00397AD5">
        <w:t xml:space="preserve">reuniões </w:t>
      </w:r>
      <w:r w:rsidR="00BE6DD6" w:rsidRPr="00397AD5">
        <w:t>de aproximadamente uma hora e trinta minutos</w:t>
      </w:r>
      <w:r w:rsidR="00FC7944" w:rsidRPr="00397AD5">
        <w:t>,</w:t>
      </w:r>
      <w:r w:rsidR="00BE6DD6" w:rsidRPr="00397AD5">
        <w:t xml:space="preserve"> </w:t>
      </w:r>
      <w:r w:rsidR="00C33BCF" w:rsidRPr="00397AD5">
        <w:t>previamente agendadas diretamente com os diversos setores do porto</w:t>
      </w:r>
      <w:r w:rsidR="00FC7944" w:rsidRPr="00397AD5">
        <w:t xml:space="preserve">. Nessas reuniões, </w:t>
      </w:r>
      <w:r w:rsidR="0073124D" w:rsidRPr="00397AD5">
        <w:t xml:space="preserve">os </w:t>
      </w:r>
      <w:r w:rsidR="00397AD5" w:rsidRPr="00397AD5">
        <w:rPr>
          <w:i/>
        </w:rPr>
        <w:t>stakeholders</w:t>
      </w:r>
      <w:r w:rsidR="00397AD5" w:rsidRPr="00397AD5" w:rsidDel="00397AD5">
        <w:t xml:space="preserve"> </w:t>
      </w:r>
      <w:r w:rsidR="00FC7944" w:rsidRPr="00397AD5">
        <w:t xml:space="preserve">foram </w:t>
      </w:r>
      <w:r w:rsidR="0073124D" w:rsidRPr="00397AD5">
        <w:t xml:space="preserve">questionados sobre </w:t>
      </w:r>
      <w:r w:rsidR="004108F1">
        <w:t xml:space="preserve">os critérios de </w:t>
      </w:r>
      <w:r w:rsidR="0073124D" w:rsidRPr="00397AD5">
        <w:t xml:space="preserve">desempenho do porto, diante da </w:t>
      </w:r>
      <w:r w:rsidR="00FC7944" w:rsidRPr="00397AD5">
        <w:t xml:space="preserve">proposta do </w:t>
      </w:r>
      <w:r w:rsidR="0073124D" w:rsidRPr="00397AD5">
        <w:t>Projeto Arco</w:t>
      </w:r>
      <w:r w:rsidR="00436B7B" w:rsidRPr="00397AD5">
        <w:t xml:space="preserve"> </w:t>
      </w:r>
      <w:r w:rsidR="00015C29" w:rsidRPr="00397AD5">
        <w:t>Norte</w:t>
      </w:r>
      <w:r w:rsidR="00FC7944" w:rsidRPr="00397AD5">
        <w:t xml:space="preserve">, cujo objetivo destes inquéritos </w:t>
      </w:r>
      <w:r w:rsidR="004108F1">
        <w:t xml:space="preserve">foi de levantar os critérios a serem considerados. Tais critérios foram os seguintes: </w:t>
      </w:r>
    </w:p>
    <w:p w14:paraId="180EAC8E" w14:textId="77777777" w:rsidR="004108F1" w:rsidRDefault="004108F1" w:rsidP="00BD3A13">
      <w:pPr>
        <w:spacing w:line="240" w:lineRule="auto"/>
        <w:ind w:leftChars="0" w:left="0" w:firstLineChars="0" w:firstLine="0"/>
        <w:jc w:val="both"/>
      </w:pPr>
    </w:p>
    <w:p w14:paraId="4B74B833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lastRenderedPageBreak/>
        <w:t>Integração administrativa das instituições presentes no sistema portuário - IAIPSP;</w:t>
      </w:r>
    </w:p>
    <w:p w14:paraId="57CB6474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t>Superação dos entraves jurídicos quanto à ocupação irregular - SDEJOI;</w:t>
      </w:r>
    </w:p>
    <w:p w14:paraId="30D98D82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t>A necessidade de ampliação do cais do porto para atracação de embarcações de longo curso - NACPEL;</w:t>
      </w:r>
    </w:p>
    <w:p w14:paraId="25168620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t>A necessidade de realização de obras de dragagem no canal de navegação de acesso ao porto - NRODCN;</w:t>
      </w:r>
    </w:p>
    <w:p w14:paraId="6C24418E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t>Melhoria nos acessos atuais por terra e a abertura de acessos às novas áreas de expansão - MATNE;</w:t>
      </w:r>
    </w:p>
    <w:p w14:paraId="45F3CCD0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t>A necessidade de dotação de equipamentos e pessoal de apoio - NDEEPA;</w:t>
      </w:r>
    </w:p>
    <w:p w14:paraId="35051484" w14:textId="77777777" w:rsidR="004108F1" w:rsidRPr="001E5081" w:rsidRDefault="004108F1" w:rsidP="004108F1">
      <w:pPr>
        <w:pStyle w:val="PargrafodaLista"/>
        <w:numPr>
          <w:ilvl w:val="0"/>
          <w:numId w:val="23"/>
        </w:numPr>
        <w:spacing w:line="240" w:lineRule="auto"/>
        <w:ind w:left="426"/>
        <w:jc w:val="both"/>
        <w:rPr>
          <w:sz w:val="24"/>
          <w:szCs w:val="24"/>
          <w:lang w:val="pt-BR"/>
        </w:rPr>
      </w:pPr>
      <w:r w:rsidRPr="001E5081">
        <w:rPr>
          <w:sz w:val="24"/>
          <w:szCs w:val="24"/>
          <w:lang w:val="pt-BR"/>
        </w:rPr>
        <w:t>As oscilações dos destinos da demanda de soja no mercado internacional em relação ao Porto de Santana - ODSMIPS.</w:t>
      </w:r>
    </w:p>
    <w:p w14:paraId="44F56A27" w14:textId="094B0E6B" w:rsidR="002823E8" w:rsidRDefault="009733A0" w:rsidP="00BD3A13">
      <w:pPr>
        <w:spacing w:line="240" w:lineRule="auto"/>
        <w:ind w:leftChars="0" w:left="0" w:firstLineChars="0" w:firstLine="0"/>
        <w:jc w:val="both"/>
      </w:pPr>
      <w:r w:rsidRPr="009733A0">
        <w:t>Na segunda etapa, as informações obtidas nas reuniões foram sistematizadas e utilizadas para elaborar</w:t>
      </w:r>
      <w:r w:rsidR="00BA135F">
        <w:t xml:space="preserve"> um</w:t>
      </w:r>
      <w:r w:rsidRPr="009733A0">
        <w:t xml:space="preserve"> questionário semiestruturado</w:t>
      </w:r>
      <w:r w:rsidR="00BA135F">
        <w:t xml:space="preserve"> destinado à coleta</w:t>
      </w:r>
      <w:r w:rsidR="00397AD5">
        <w:t xml:space="preserve"> de dados</w:t>
      </w:r>
      <w:r w:rsidR="00BA135F">
        <w:t xml:space="preserve"> </w:t>
      </w:r>
      <w:r w:rsidR="007914B2">
        <w:t xml:space="preserve">posterior </w:t>
      </w:r>
      <w:r w:rsidR="00BA135F">
        <w:t>das per</w:t>
      </w:r>
      <w:r w:rsidR="00012FF9">
        <w:t xml:space="preserve">cepções sobre as prioridades </w:t>
      </w:r>
      <w:r w:rsidR="007914B2">
        <w:t>d</w:t>
      </w:r>
      <w:r w:rsidR="00012FF9">
        <w:t xml:space="preserve">os critérios </w:t>
      </w:r>
      <w:r w:rsidR="0023773C">
        <w:t>de desempenho do porto</w:t>
      </w:r>
      <w:r w:rsidR="00A753E4">
        <w:t xml:space="preserve">. </w:t>
      </w:r>
      <w:r w:rsidR="0068059F">
        <w:t>Para fins de validação,</w:t>
      </w:r>
      <w:r w:rsidRPr="009733A0">
        <w:t xml:space="preserve"> </w:t>
      </w:r>
      <w:r w:rsidR="0068059F">
        <w:t>o questionário</w:t>
      </w:r>
      <w:r w:rsidRPr="009733A0">
        <w:t xml:space="preserve"> f</w:t>
      </w:r>
      <w:r w:rsidR="0068059F">
        <w:t>oi</w:t>
      </w:r>
      <w:r w:rsidRPr="009733A0">
        <w:t xml:space="preserve"> apresentad</w:t>
      </w:r>
      <w:r w:rsidR="0068059F">
        <w:t>o</w:t>
      </w:r>
      <w:r w:rsidRPr="009733A0">
        <w:t xml:space="preserve"> </w:t>
      </w:r>
      <w:r w:rsidR="00397AD5">
        <w:t xml:space="preserve">aos </w:t>
      </w:r>
      <w:r w:rsidR="00397AD5" w:rsidRPr="00053AB7">
        <w:rPr>
          <w:i/>
        </w:rPr>
        <w:t>stakeholders</w:t>
      </w:r>
      <w:r w:rsidRPr="009733A0">
        <w:t xml:space="preserve"> para garantir que os itens incluídos estivessem alinhados com </w:t>
      </w:r>
      <w:r w:rsidR="00397AD5">
        <w:t xml:space="preserve">a visão </w:t>
      </w:r>
      <w:r w:rsidRPr="009733A0">
        <w:t>estratégic</w:t>
      </w:r>
      <w:r w:rsidR="00397AD5">
        <w:t>a</w:t>
      </w:r>
      <w:r w:rsidRPr="009733A0">
        <w:t xml:space="preserve"> e operaciona</w:t>
      </w:r>
      <w:r w:rsidR="00397AD5">
        <w:t xml:space="preserve">l do </w:t>
      </w:r>
      <w:r w:rsidRPr="009733A0">
        <w:t>porto</w:t>
      </w:r>
      <w:r w:rsidR="00397AD5">
        <w:t xml:space="preserve"> frente ao projeto Arco Norte</w:t>
      </w:r>
      <w:r w:rsidRPr="009733A0">
        <w:t>.</w:t>
      </w:r>
    </w:p>
    <w:p w14:paraId="22C2B08E" w14:textId="77777777" w:rsidR="002823E8" w:rsidRDefault="002823E8" w:rsidP="00BD3A13">
      <w:pPr>
        <w:spacing w:line="240" w:lineRule="auto"/>
        <w:ind w:leftChars="0" w:left="0" w:firstLineChars="0" w:firstLine="0"/>
        <w:jc w:val="both"/>
      </w:pPr>
    </w:p>
    <w:p w14:paraId="3436DBC3" w14:textId="620F36F9" w:rsidR="002823E8" w:rsidRDefault="00C33BCF" w:rsidP="00BD3A13">
      <w:pPr>
        <w:spacing w:line="240" w:lineRule="auto"/>
        <w:ind w:leftChars="0" w:left="0" w:firstLineChars="0" w:firstLine="0"/>
        <w:jc w:val="both"/>
      </w:pPr>
      <w:r>
        <w:t xml:space="preserve">Na terceira etapa, os questionários foram aplicados aos </w:t>
      </w:r>
      <w:r w:rsidR="00B147C4">
        <w:t xml:space="preserve">mesmos </w:t>
      </w:r>
      <w:r w:rsidR="00D55964" w:rsidRPr="00053AB7">
        <w:rPr>
          <w:i/>
        </w:rPr>
        <w:t>stakeholders</w:t>
      </w:r>
      <w:r>
        <w:t xml:space="preserve"> da etapa</w:t>
      </w:r>
      <w:r w:rsidR="00B147C4">
        <w:t xml:space="preserve"> inicial</w:t>
      </w:r>
      <w:r>
        <w:t xml:space="preserve"> para </w:t>
      </w:r>
      <w:r w:rsidR="00D55964">
        <w:t xml:space="preserve">coleta </w:t>
      </w:r>
      <w:r w:rsidR="00213D6E">
        <w:t>das</w:t>
      </w:r>
      <w:r w:rsidR="00D55964">
        <w:t xml:space="preserve"> </w:t>
      </w:r>
      <w:r w:rsidR="006A465C">
        <w:t xml:space="preserve">suas </w:t>
      </w:r>
      <w:r w:rsidR="005C65DE">
        <w:t xml:space="preserve">percepções de </w:t>
      </w:r>
      <w:r w:rsidR="00D55964">
        <w:t>prioridades</w:t>
      </w:r>
      <w:r w:rsidR="00213D6E">
        <w:t xml:space="preserve"> </w:t>
      </w:r>
      <w:r w:rsidR="006A465C">
        <w:t>relativas</w:t>
      </w:r>
      <w:r w:rsidR="00854E4C">
        <w:t xml:space="preserve"> aos</w:t>
      </w:r>
      <w:r>
        <w:t xml:space="preserve"> critérios</w:t>
      </w:r>
      <w:r w:rsidR="00854E4C">
        <w:t xml:space="preserve">, </w:t>
      </w:r>
      <w:r>
        <w:t>utilizando um método de comparações paritárias, permitindo uma análise detalhada das importância</w:t>
      </w:r>
      <w:r w:rsidR="00CE5D63">
        <w:t>s</w:t>
      </w:r>
      <w:r>
        <w:t xml:space="preserve"> e urgência</w:t>
      </w:r>
      <w:r w:rsidR="00CE5D63">
        <w:t>s</w:t>
      </w:r>
      <w:r>
        <w:t xml:space="preserve"> atribuídas a cada critério, facilitando a identificação das prioridades estratégicas para </w:t>
      </w:r>
      <w:r w:rsidR="00B147C4">
        <w:t>elegibilidade</w:t>
      </w:r>
      <w:r>
        <w:t xml:space="preserve"> do porto.</w:t>
      </w:r>
      <w:r w:rsidR="00185013">
        <w:t xml:space="preserve"> </w:t>
      </w:r>
      <w:r w:rsidR="002823E8">
        <w:t xml:space="preserve"> </w:t>
      </w:r>
    </w:p>
    <w:p w14:paraId="35F3AC83" w14:textId="602DEBE3" w:rsidR="002323D1" w:rsidRDefault="002323D1" w:rsidP="00BD3A13">
      <w:pPr>
        <w:spacing w:line="240" w:lineRule="auto"/>
        <w:ind w:leftChars="0" w:left="0" w:firstLineChars="0" w:firstLine="0"/>
        <w:jc w:val="both"/>
      </w:pPr>
    </w:p>
    <w:p w14:paraId="53161CFA" w14:textId="612F1715" w:rsidR="00357370" w:rsidRDefault="002323D1" w:rsidP="001E5081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t xml:space="preserve">Nos cálculos envolvendo as comparações paritárias e a ponderação dos critérios, aplicou-se inicialmente o método AHP em planilha Excel, </w:t>
      </w:r>
      <w:r w:rsidRPr="001E5081">
        <w:t xml:space="preserve">cujo os resultados serão confrontados posteriormente, para fins de validação, com aqueles do </w:t>
      </w:r>
      <w:r w:rsidRPr="001E5081">
        <w:rPr>
          <w:i/>
        </w:rPr>
        <w:t xml:space="preserve">software Superdecisions. </w:t>
      </w:r>
      <w:r w:rsidR="00357370" w:rsidRPr="001E5081">
        <w:t xml:space="preserve">Tem-se na Tabela </w:t>
      </w:r>
      <w:r w:rsidRPr="001E5081">
        <w:t>4</w:t>
      </w:r>
      <w:r w:rsidR="00357370" w:rsidRPr="001E5081">
        <w:t xml:space="preserve"> a matriz de julgamento normalizada.</w:t>
      </w:r>
      <w:r w:rsidR="002823E8" w:rsidRPr="001E5081">
        <w:t xml:space="preserve"> </w:t>
      </w:r>
      <w:r w:rsidR="00357370" w:rsidRPr="001E5081">
        <w:t xml:space="preserve">Pode-se observar na Tabela </w:t>
      </w:r>
      <w:r w:rsidRPr="001E5081">
        <w:t>4, a relação de importância recíproca entre os critérios, como por exemplo, considerando a escala de valores da Tabela 1, o critério NACPEL tem importância forte em relação ao critério IAIPSP (5,0000)</w:t>
      </w:r>
      <w:r w:rsidR="00F85871" w:rsidRPr="001E5081">
        <w:t xml:space="preserve"> e importância extrema em relação ao critério ODSMIPS. Outra observação importante é quanto ao somatório dos pesos de cada critério em relação aos demais, em que os totais das colunas expressam o grau de prioridade de cada critério, destacando-se NDEEPA (29,50000)</w:t>
      </w:r>
      <w:r w:rsidR="00F85871">
        <w:t>.</w:t>
      </w:r>
      <w:r w:rsidR="00357370" w:rsidRPr="001E5081">
        <w:t xml:space="preserve"> </w:t>
      </w:r>
      <w:r w:rsidR="00BB65CB">
        <w:t xml:space="preserve"> </w:t>
      </w:r>
    </w:p>
    <w:p w14:paraId="0A618106" w14:textId="77777777" w:rsidR="00357370" w:rsidRDefault="00357370" w:rsidP="001E5081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6F8BFAD0" w14:textId="322A7936" w:rsidR="004108F1" w:rsidRDefault="00231934" w:rsidP="001E5081">
      <w:pPr>
        <w:spacing w:line="240" w:lineRule="auto"/>
        <w:ind w:leftChars="0" w:left="0" w:firstLineChars="0" w:firstLine="0"/>
        <w:jc w:val="center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Tabela</w:t>
      </w:r>
      <w:r w:rsidR="00F844CD">
        <w:rPr>
          <w:b/>
          <w:color w:val="000000" w:themeColor="text1"/>
          <w:sz w:val="20"/>
          <w:szCs w:val="20"/>
        </w:rPr>
        <w:t xml:space="preserve"> 4</w:t>
      </w:r>
      <w:r w:rsidR="009B7A08" w:rsidRPr="00527D76">
        <w:rPr>
          <w:b/>
          <w:color w:val="000000" w:themeColor="text1"/>
          <w:sz w:val="20"/>
          <w:szCs w:val="20"/>
        </w:rPr>
        <w:t xml:space="preserve"> – </w:t>
      </w:r>
      <w:r w:rsidR="009B7A08" w:rsidRPr="00527D76">
        <w:rPr>
          <w:color w:val="000000" w:themeColor="text1"/>
          <w:sz w:val="20"/>
          <w:szCs w:val="20"/>
        </w:rPr>
        <w:t>Matriz de julgamentos normalizada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032"/>
        <w:gridCol w:w="1032"/>
        <w:gridCol w:w="1032"/>
        <w:gridCol w:w="1032"/>
        <w:gridCol w:w="1032"/>
        <w:gridCol w:w="1032"/>
        <w:gridCol w:w="1032"/>
      </w:tblGrid>
      <w:tr w:rsidR="004108F1" w:rsidRPr="001E5081" w14:paraId="1B9C3971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80EA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6D8B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IAIPSP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53D9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SDEJOI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8A50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NACPEL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2124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NRODCN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2225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MATNE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A489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NDEEPA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CCFF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ODSMIPS</w:t>
            </w:r>
          </w:p>
        </w:tc>
      </w:tr>
      <w:tr w:rsidR="004108F1" w:rsidRPr="001E5081" w14:paraId="0E0FAA7F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F9E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IAIPSP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19BF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9D0F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3F23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F0C4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5AE2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551C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82D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</w:tr>
      <w:tr w:rsidR="004108F1" w:rsidRPr="001E5081" w14:paraId="1D3327FC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CF1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SDEJOI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E2E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5D2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85D8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748D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3133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1B3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D9FA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</w:tr>
      <w:tr w:rsidR="004108F1" w:rsidRPr="001E5081" w14:paraId="2414D2EF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20F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NACPEL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B62D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B63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7,0000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11C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089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7,0000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4A8A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5BE4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9,0000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DF7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9,0000</w:t>
            </w:r>
          </w:p>
        </w:tc>
      </w:tr>
      <w:tr w:rsidR="004108F1" w:rsidRPr="001E5081" w14:paraId="5A333D7D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EF6B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NRODCN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87C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3401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E4BA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8FA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02F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820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6CBB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</w:tr>
      <w:tr w:rsidR="004108F1" w:rsidRPr="001E5081" w14:paraId="3E46512F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D267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MATNE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AC22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71C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5,0000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1943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194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7,0000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740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131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7,0000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204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7,0000</w:t>
            </w:r>
          </w:p>
        </w:tc>
      </w:tr>
      <w:tr w:rsidR="004108F1" w:rsidRPr="001E5081" w14:paraId="281E83DD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488D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NDEEPA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FFD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EB45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7BD3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0,1100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2B9C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F754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0,1429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54CB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C37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2,0000</w:t>
            </w:r>
          </w:p>
        </w:tc>
      </w:tr>
      <w:tr w:rsidR="004108F1" w:rsidRPr="001E5081" w14:paraId="1DB7BFB1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6C82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ODSMIPS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08C0D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97382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498C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5B80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F699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0,1429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0ECC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0,5000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58F7" w14:textId="77777777" w:rsidR="004108F1" w:rsidRPr="001E5081" w:rsidRDefault="004108F1" w:rsidP="009755B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1,0000</w:t>
            </w:r>
          </w:p>
        </w:tc>
      </w:tr>
      <w:tr w:rsidR="004108F1" w:rsidRPr="001E5081" w14:paraId="5459B28D" w14:textId="77777777" w:rsidTr="001E5081">
        <w:trPr>
          <w:trHeight w:val="271"/>
          <w:jc w:val="center"/>
        </w:trPr>
        <w:tc>
          <w:tcPr>
            <w:tcW w:w="15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1B97A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∑ - Somatórios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3E6F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12,4000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FC3F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15,9000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C125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2,2057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947E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20,0000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C568D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3,8286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4295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29,50000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FC10" w14:textId="77777777" w:rsidR="004108F1" w:rsidRPr="001E5081" w:rsidRDefault="004108F1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1E5081">
              <w:rPr>
                <w:color w:val="000000"/>
                <w:sz w:val="20"/>
                <w:szCs w:val="20"/>
              </w:rPr>
              <w:t>31,00</w:t>
            </w:r>
          </w:p>
        </w:tc>
      </w:tr>
    </w:tbl>
    <w:p w14:paraId="4B173A0D" w14:textId="77777777" w:rsidR="00BC7382" w:rsidRPr="00527D76" w:rsidRDefault="00BC7382" w:rsidP="001E5081">
      <w:pPr>
        <w:spacing w:line="240" w:lineRule="auto"/>
        <w:ind w:leftChars="0" w:left="142" w:firstLineChars="0" w:firstLine="0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Pr="00527D7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Autores,</w:t>
      </w:r>
      <w:r w:rsidRPr="00527D76">
        <w:rPr>
          <w:color w:val="000000" w:themeColor="text1"/>
          <w:sz w:val="20"/>
          <w:szCs w:val="20"/>
        </w:rPr>
        <w:t xml:space="preserve"> (20</w:t>
      </w:r>
      <w:r>
        <w:rPr>
          <w:color w:val="000000" w:themeColor="text1"/>
          <w:sz w:val="20"/>
          <w:szCs w:val="20"/>
        </w:rPr>
        <w:t>24</w:t>
      </w:r>
      <w:r w:rsidRPr="00527D76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.</w:t>
      </w:r>
    </w:p>
    <w:p w14:paraId="3E8CBB23" w14:textId="6B7463EB" w:rsidR="00F85871" w:rsidRDefault="00F85871" w:rsidP="00B538CE">
      <w:pPr>
        <w:spacing w:line="240" w:lineRule="auto"/>
        <w:ind w:leftChars="0" w:left="567" w:firstLineChars="0" w:firstLine="0"/>
        <w:rPr>
          <w:color w:val="000000" w:themeColor="text1"/>
          <w:sz w:val="20"/>
          <w:szCs w:val="20"/>
        </w:rPr>
      </w:pPr>
    </w:p>
    <w:p w14:paraId="3821FA08" w14:textId="6BC89E7F" w:rsidR="00F27430" w:rsidRDefault="006F2113" w:rsidP="00F85871">
      <w:pPr>
        <w:spacing w:line="240" w:lineRule="auto"/>
        <w:ind w:leftChars="0" w:left="0" w:firstLineChars="0" w:firstLine="0"/>
        <w:jc w:val="both"/>
      </w:pPr>
      <w:r>
        <w:t>N</w:t>
      </w:r>
      <w:r w:rsidR="00F85871" w:rsidRPr="001E5081">
        <w:t>a Tabela 5 tem-se</w:t>
      </w:r>
      <w:r w:rsidR="00F27430" w:rsidRPr="001E5081">
        <w:t xml:space="preserve"> o cálculo do vetor prioridade, obtido para cada um dos sete critérios, a partir da aplicação da Eq. 4. Tais valores, convertidos em termos percentuais, </w:t>
      </w:r>
      <w:r w:rsidR="00430BE4" w:rsidRPr="001E5081">
        <w:t xml:space="preserve">determinou a </w:t>
      </w:r>
      <w:r w:rsidR="00430BE4" w:rsidRPr="001E5081">
        <w:lastRenderedPageBreak/>
        <w:t>importância relativa dos critérios,</w:t>
      </w:r>
      <w:r w:rsidR="00430BE4">
        <w:t xml:space="preserve"> onde pode ser observado os critérios NACPEL - a</w:t>
      </w:r>
      <w:r w:rsidR="00430BE4" w:rsidRPr="009C79BF">
        <w:t xml:space="preserve"> necessidade de ampliação do cais do porto para atracação de embarcações de longo curso</w:t>
      </w:r>
      <w:r w:rsidR="00430BE4">
        <w:t xml:space="preserve">  e, MATNE – m</w:t>
      </w:r>
      <w:r w:rsidR="00430BE4" w:rsidRPr="009C79BF">
        <w:t xml:space="preserve">elhoria nos acessos atuais por terra e a abertura de acessos às novas áreas de expansão </w:t>
      </w:r>
      <w:r w:rsidR="00430BE4">
        <w:t>como os de maior prioridade e os critérios NDEEPA - a</w:t>
      </w:r>
      <w:r w:rsidR="00430BE4" w:rsidRPr="009C79BF">
        <w:t xml:space="preserve"> necessidade de dotação de equipamentos e pessoal de apoio</w:t>
      </w:r>
      <w:r w:rsidR="00430BE4">
        <w:t xml:space="preserve"> e, ODSMIPS - a</w:t>
      </w:r>
      <w:r w:rsidR="00430BE4" w:rsidRPr="009C79BF">
        <w:t>s oscilações dos destinos da demanda de soja no mercado internacional em relação ao Porto de Santana</w:t>
      </w:r>
      <w:r w:rsidR="00430BE4">
        <w:t xml:space="preserve"> como o menor prioridade, face ao que está sendo avaliado. </w:t>
      </w:r>
    </w:p>
    <w:p w14:paraId="0A756C78" w14:textId="77777777" w:rsidR="00BC7382" w:rsidRDefault="00BC7382" w:rsidP="00F85871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0CAC10C0" w14:textId="62E308E6" w:rsidR="00AE0663" w:rsidRDefault="00231934" w:rsidP="00BD3A13">
      <w:pPr>
        <w:spacing w:line="240" w:lineRule="auto"/>
        <w:ind w:leftChars="0" w:left="0" w:firstLineChars="0" w:firstLine="0"/>
        <w:jc w:val="center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 xml:space="preserve">Tabela </w:t>
      </w:r>
      <w:r w:rsidR="00F844CD">
        <w:rPr>
          <w:b/>
          <w:color w:val="000000" w:themeColor="text1"/>
          <w:sz w:val="20"/>
          <w:szCs w:val="20"/>
        </w:rPr>
        <w:t>5</w:t>
      </w:r>
      <w:r w:rsidR="009B7A08" w:rsidRPr="00527D76">
        <w:rPr>
          <w:b/>
          <w:color w:val="000000" w:themeColor="text1"/>
          <w:sz w:val="20"/>
          <w:szCs w:val="20"/>
        </w:rPr>
        <w:t xml:space="preserve"> – </w:t>
      </w:r>
      <w:r w:rsidR="009B7A08" w:rsidRPr="00527D76">
        <w:rPr>
          <w:color w:val="000000" w:themeColor="text1"/>
          <w:sz w:val="20"/>
          <w:szCs w:val="20"/>
        </w:rPr>
        <w:t>Cálculo do vetor prioridade</w:t>
      </w:r>
    </w:p>
    <w:tbl>
      <w:tblPr>
        <w:tblW w:w="9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779"/>
        <w:gridCol w:w="1033"/>
        <w:gridCol w:w="1059"/>
      </w:tblGrid>
      <w:tr w:rsidR="00AE0663" w:rsidRPr="00EB383C" w14:paraId="1EE55E47" w14:textId="77777777" w:rsidTr="001E5081">
        <w:trPr>
          <w:trHeight w:val="378"/>
          <w:jc w:val="center"/>
        </w:trPr>
        <w:tc>
          <w:tcPr>
            <w:tcW w:w="704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1732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EB383C">
              <w:rPr>
                <w:b/>
                <w:color w:val="000000"/>
                <w:sz w:val="20"/>
                <w:szCs w:val="20"/>
              </w:rPr>
              <w:t>Cálculo</w:t>
            </w:r>
          </w:p>
        </w:tc>
        <w:tc>
          <w:tcPr>
            <w:tcW w:w="20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5F8E5D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EB383C">
              <w:rPr>
                <w:b/>
                <w:color w:val="000000"/>
                <w:sz w:val="20"/>
                <w:szCs w:val="20"/>
              </w:rPr>
              <w:t>Vetor Prioridade</w:t>
            </w:r>
          </w:p>
        </w:tc>
      </w:tr>
      <w:tr w:rsidR="00AE0663" w:rsidRPr="00EB383C" w14:paraId="717E47D0" w14:textId="77777777" w:rsidTr="001E5081">
        <w:trPr>
          <w:trHeight w:val="378"/>
          <w:jc w:val="center"/>
        </w:trPr>
        <w:tc>
          <w:tcPr>
            <w:tcW w:w="126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9120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IAIPSP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4F78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(0,0806 + 0,1258 + 0,0907 + 1,0000 + 0,0522 + 0,1695+ 0,1613) / 7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8DF7613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0,1114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14:paraId="6FC19BAE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11,14%</w:t>
            </w:r>
          </w:p>
        </w:tc>
      </w:tr>
      <w:tr w:rsidR="00AE0663" w:rsidRPr="00EB383C" w14:paraId="2B2C718E" w14:textId="77777777" w:rsidTr="001E5081">
        <w:trPr>
          <w:trHeight w:val="378"/>
          <w:jc w:val="center"/>
        </w:trPr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DC18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SDEJOI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3CFD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(0,0403 +  0,0629 + 0,0648 + 1,0000 + 0,0522 + 0,1695 + 0,1613) / 7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4D159F8F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0,0930</w:t>
            </w:r>
          </w:p>
        </w:tc>
        <w:tc>
          <w:tcPr>
            <w:tcW w:w="1059" w:type="dxa"/>
            <w:vAlign w:val="center"/>
          </w:tcPr>
          <w:p w14:paraId="51970F22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9,30%</w:t>
            </w:r>
          </w:p>
        </w:tc>
      </w:tr>
      <w:tr w:rsidR="00AE0663" w:rsidRPr="00EB383C" w14:paraId="51FCBEEE" w14:textId="77777777" w:rsidTr="001E5081">
        <w:trPr>
          <w:trHeight w:val="378"/>
          <w:jc w:val="center"/>
        </w:trPr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2522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NACPEL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6D4F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(0,4032 + 0,4403 + 0,4534 + 0,3500 + 0,5224 + 0,3051 + 0,2903) / 7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0AC2F04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0,3949</w:t>
            </w:r>
          </w:p>
        </w:tc>
        <w:tc>
          <w:tcPr>
            <w:tcW w:w="1059" w:type="dxa"/>
            <w:vAlign w:val="center"/>
          </w:tcPr>
          <w:p w14:paraId="58947296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39,49%</w:t>
            </w:r>
          </w:p>
        </w:tc>
      </w:tr>
      <w:tr w:rsidR="00AE0663" w:rsidRPr="00EB383C" w14:paraId="1616ACF3" w14:textId="77777777" w:rsidTr="001E5081">
        <w:trPr>
          <w:trHeight w:val="378"/>
          <w:jc w:val="center"/>
        </w:trPr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9384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NRODCN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0DBC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(0,0403 + 0,0314 + 0,0648 + 0,0500 + 0,0373 + 0,0678 + 0,0645) / 7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B40DCE2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0,0509</w:t>
            </w:r>
          </w:p>
        </w:tc>
        <w:tc>
          <w:tcPr>
            <w:tcW w:w="1059" w:type="dxa"/>
            <w:vAlign w:val="center"/>
          </w:tcPr>
          <w:p w14:paraId="6266A00B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5,09%</w:t>
            </w:r>
          </w:p>
        </w:tc>
      </w:tr>
      <w:tr w:rsidR="00AE0663" w:rsidRPr="00EB383C" w14:paraId="650AD2E6" w14:textId="77777777" w:rsidTr="001E5081">
        <w:trPr>
          <w:trHeight w:val="378"/>
          <w:jc w:val="center"/>
        </w:trPr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AFC7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MATNE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6CC4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(0,4032 + 0,3145 + 0,2267 + 0,3500 + 0,2612 + 0,2373 + 0,2258) / 7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80A5E43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0,2884</w:t>
            </w:r>
          </w:p>
        </w:tc>
        <w:tc>
          <w:tcPr>
            <w:tcW w:w="1059" w:type="dxa"/>
            <w:vAlign w:val="center"/>
          </w:tcPr>
          <w:p w14:paraId="40CF1FFC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28,84%</w:t>
            </w:r>
          </w:p>
        </w:tc>
      </w:tr>
      <w:tr w:rsidR="00AE0663" w:rsidRPr="00EB383C" w14:paraId="11DFDA65" w14:textId="77777777" w:rsidTr="001E5081">
        <w:trPr>
          <w:trHeight w:val="378"/>
          <w:jc w:val="center"/>
        </w:trPr>
        <w:tc>
          <w:tcPr>
            <w:tcW w:w="126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9EEA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NDEEPA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5D4A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(0,0161 + 0,0126 + 0,0499 + 0,0250 + 0,0373 + 0,0339 + 0,0645) / 7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2A1911D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0,0342</w:t>
            </w:r>
          </w:p>
        </w:tc>
        <w:tc>
          <w:tcPr>
            <w:tcW w:w="1059" w:type="dxa"/>
            <w:vAlign w:val="center"/>
          </w:tcPr>
          <w:p w14:paraId="5B48C5F9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3,42%</w:t>
            </w:r>
          </w:p>
        </w:tc>
      </w:tr>
      <w:tr w:rsidR="00AE0663" w:rsidRPr="00EB383C" w14:paraId="2E76A08A" w14:textId="77777777" w:rsidTr="001E5081">
        <w:trPr>
          <w:trHeight w:val="378"/>
          <w:jc w:val="center"/>
        </w:trPr>
        <w:tc>
          <w:tcPr>
            <w:tcW w:w="126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0E9C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ODSMIPS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602D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(0,0161  + 0,0126 + 0,0499 + 0,0250 + 0,0373 + 0,0169 + 0,0323) / 7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39483C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0,0272</w:t>
            </w:r>
          </w:p>
        </w:tc>
        <w:tc>
          <w:tcPr>
            <w:tcW w:w="1059" w:type="dxa"/>
            <w:tcBorders>
              <w:bottom w:val="single" w:sz="12" w:space="0" w:color="auto"/>
            </w:tcBorders>
            <w:vAlign w:val="center"/>
          </w:tcPr>
          <w:p w14:paraId="2A94EDE1" w14:textId="77777777" w:rsidR="00AE0663" w:rsidRPr="00EB383C" w:rsidRDefault="00AE0663" w:rsidP="009755B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2,72%</w:t>
            </w:r>
          </w:p>
        </w:tc>
      </w:tr>
    </w:tbl>
    <w:p w14:paraId="4911453A" w14:textId="7226ED8A" w:rsidR="009B7A08" w:rsidRPr="00527D76" w:rsidRDefault="009B7A08" w:rsidP="001E5081">
      <w:pPr>
        <w:spacing w:line="240" w:lineRule="auto"/>
        <w:ind w:leftChars="0" w:left="0" w:firstLineChars="0" w:firstLine="0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="00231934" w:rsidRPr="00527D76">
        <w:rPr>
          <w:color w:val="000000" w:themeColor="text1"/>
          <w:sz w:val="20"/>
          <w:szCs w:val="20"/>
        </w:rPr>
        <w:t xml:space="preserve"> </w:t>
      </w:r>
      <w:r w:rsidR="00430BE4">
        <w:rPr>
          <w:color w:val="000000" w:themeColor="text1"/>
          <w:sz w:val="20"/>
          <w:szCs w:val="20"/>
        </w:rPr>
        <w:t>Autores,</w:t>
      </w:r>
      <w:r w:rsidR="00231934" w:rsidRPr="00527D76">
        <w:rPr>
          <w:color w:val="000000" w:themeColor="text1"/>
          <w:sz w:val="20"/>
          <w:szCs w:val="20"/>
        </w:rPr>
        <w:t xml:space="preserve"> (20</w:t>
      </w:r>
      <w:r w:rsidR="00430BE4">
        <w:rPr>
          <w:color w:val="000000" w:themeColor="text1"/>
          <w:sz w:val="20"/>
          <w:szCs w:val="20"/>
        </w:rPr>
        <w:t>24</w:t>
      </w:r>
      <w:r w:rsidRPr="00527D76">
        <w:rPr>
          <w:color w:val="000000" w:themeColor="text1"/>
          <w:sz w:val="20"/>
          <w:szCs w:val="20"/>
        </w:rPr>
        <w:t>)</w:t>
      </w:r>
      <w:r w:rsidR="00430BE4">
        <w:rPr>
          <w:color w:val="000000" w:themeColor="text1"/>
          <w:sz w:val="20"/>
          <w:szCs w:val="20"/>
        </w:rPr>
        <w:t>.</w:t>
      </w:r>
    </w:p>
    <w:p w14:paraId="347A9E2F" w14:textId="77777777" w:rsidR="00AD5984" w:rsidRPr="00527D76" w:rsidRDefault="00AD5984" w:rsidP="00BD3A13">
      <w:pPr>
        <w:spacing w:line="240" w:lineRule="auto"/>
        <w:ind w:leftChars="0" w:left="0" w:firstLineChars="0" w:firstLine="0"/>
        <w:jc w:val="both"/>
        <w:rPr>
          <w:rFonts w:eastAsiaTheme="minorHAnsi"/>
          <w:color w:val="000000" w:themeColor="text1"/>
          <w:lang w:eastAsia="en-US"/>
        </w:rPr>
      </w:pPr>
    </w:p>
    <w:p w14:paraId="5FA9DA5B" w14:textId="4618CA80" w:rsidR="00787D61" w:rsidRDefault="00357370" w:rsidP="00BD3A13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Mediante os resultados obtidos, </w:t>
      </w:r>
      <w:r w:rsidRPr="001E5081">
        <w:rPr>
          <w:color w:val="000000" w:themeColor="text1"/>
        </w:rPr>
        <w:t xml:space="preserve">partiu-se para a avaliação da coesão no julgamento de valores, calculando-se o </w:t>
      </w:r>
      <w:r w:rsidR="009B7A08" w:rsidRPr="001E5081">
        <w:rPr>
          <w:color w:val="000000" w:themeColor="text1"/>
        </w:rPr>
        <w:t>RC, divid</w:t>
      </w:r>
      <w:r w:rsidRPr="001E5081">
        <w:rPr>
          <w:color w:val="000000" w:themeColor="text1"/>
        </w:rPr>
        <w:t>indo</w:t>
      </w:r>
      <w:r w:rsidR="009B7A08" w:rsidRPr="001E5081">
        <w:rPr>
          <w:color w:val="000000" w:themeColor="text1"/>
        </w:rPr>
        <w:t>-se o IC</w:t>
      </w:r>
      <w:r w:rsidR="00D25138" w:rsidRPr="001E5081">
        <w:rPr>
          <w:color w:val="000000" w:themeColor="text1"/>
        </w:rPr>
        <w:t xml:space="preserve"> </w:t>
      </w:r>
      <w:r w:rsidR="00430BE4">
        <w:rPr>
          <w:color w:val="000000" w:themeColor="text1"/>
        </w:rPr>
        <w:t xml:space="preserve">(vide </w:t>
      </w:r>
      <w:r w:rsidR="00430BE4" w:rsidRPr="001E5081">
        <w:rPr>
          <w:color w:val="000000" w:themeColor="text1"/>
        </w:rPr>
        <w:t>E</w:t>
      </w:r>
      <w:r w:rsidR="00D25138" w:rsidRPr="001E5081">
        <w:rPr>
          <w:color w:val="000000" w:themeColor="text1"/>
        </w:rPr>
        <w:t>q</w:t>
      </w:r>
      <w:r w:rsidR="00430BE4" w:rsidRPr="001E5081">
        <w:rPr>
          <w:color w:val="000000" w:themeColor="text1"/>
        </w:rPr>
        <w:t>.</w:t>
      </w:r>
      <w:r w:rsidR="00D25138" w:rsidRPr="001E5081">
        <w:rPr>
          <w:color w:val="000000" w:themeColor="text1"/>
        </w:rPr>
        <w:t xml:space="preserve"> 5</w:t>
      </w:r>
      <w:r w:rsidR="00430BE4">
        <w:rPr>
          <w:color w:val="000000" w:themeColor="text1"/>
        </w:rPr>
        <w:t>) e</w:t>
      </w:r>
      <w:r w:rsidR="00D25138" w:rsidRPr="001E5081">
        <w:rPr>
          <w:color w:val="000000" w:themeColor="text1"/>
        </w:rPr>
        <w:t xml:space="preserve">, </w:t>
      </w:r>
      <w:r w:rsidR="009B7A08" w:rsidRPr="001E5081">
        <w:rPr>
          <w:color w:val="000000" w:themeColor="text1"/>
        </w:rPr>
        <w:t>pelo Índice de Inconsistência Média</w:t>
      </w:r>
      <w:r w:rsidR="00D25138" w:rsidRPr="001E5081">
        <w:rPr>
          <w:color w:val="000000" w:themeColor="text1"/>
        </w:rPr>
        <w:t xml:space="preserve"> </w:t>
      </w:r>
      <w:r w:rsidR="00A9790B" w:rsidRPr="001E5081">
        <w:rPr>
          <w:color w:val="000000" w:themeColor="text1"/>
        </w:rPr>
        <w:t xml:space="preserve">- </w:t>
      </w:r>
      <w:r w:rsidR="009B7A08" w:rsidRPr="001E5081">
        <w:rPr>
          <w:color w:val="000000" w:themeColor="text1"/>
        </w:rPr>
        <w:t>IAM,</w:t>
      </w:r>
      <w:r w:rsidR="00816465">
        <w:rPr>
          <w:color w:val="000000" w:themeColor="text1"/>
        </w:rPr>
        <w:t xml:space="preserve"> de acordo com a Tabela 3 e </w:t>
      </w:r>
      <w:r w:rsidR="00816465" w:rsidRPr="009C79BF">
        <w:rPr>
          <w:color w:val="000000" w:themeColor="text1"/>
        </w:rPr>
        <w:t>matriz</w:t>
      </w:r>
      <w:r w:rsidR="00816465">
        <w:rPr>
          <w:color w:val="000000" w:themeColor="text1"/>
        </w:rPr>
        <w:t xml:space="preserve"> de ordem</w:t>
      </w:r>
      <w:r w:rsidR="00816465" w:rsidRPr="009C79BF">
        <w:rPr>
          <w:color w:val="000000" w:themeColor="text1"/>
        </w:rPr>
        <w:t xml:space="preserve"> </w:t>
      </w:r>
      <w:r w:rsidR="00816465">
        <w:rPr>
          <w:color w:val="000000" w:themeColor="text1"/>
        </w:rPr>
        <w:t>7 (o número de critérios)</w:t>
      </w:r>
      <w:r w:rsidR="00816465" w:rsidRPr="009C79BF">
        <w:rPr>
          <w:color w:val="000000" w:themeColor="text1"/>
        </w:rPr>
        <w:t>, igual a 1,35</w:t>
      </w:r>
      <w:r w:rsidR="00816465">
        <w:rPr>
          <w:color w:val="000000" w:themeColor="text1"/>
        </w:rPr>
        <w:t xml:space="preserve">. </w:t>
      </w:r>
      <w:r w:rsidR="00430BE4">
        <w:rPr>
          <w:color w:val="000000" w:themeColor="text1"/>
        </w:rPr>
        <w:t>RC</w:t>
      </w:r>
      <w:r w:rsidR="009B7A08" w:rsidRPr="001E5081">
        <w:rPr>
          <w:color w:val="000000" w:themeColor="text1"/>
        </w:rPr>
        <w:t xml:space="preserve"> uma constante</w:t>
      </w:r>
      <w:r w:rsidR="00816465">
        <w:rPr>
          <w:color w:val="000000" w:themeColor="text1"/>
        </w:rPr>
        <w:t xml:space="preserve"> dada pela Eq. 6</w:t>
      </w:r>
      <w:r w:rsidR="00787D61">
        <w:rPr>
          <w:color w:val="000000" w:themeColor="text1"/>
        </w:rPr>
        <w:t xml:space="preserve"> e apresentados na Tabela 6. Como pode ser observado, o RC &lt; que 0</w:t>
      </w:r>
      <w:r w:rsidR="006F2113">
        <w:rPr>
          <w:color w:val="000000" w:themeColor="text1"/>
        </w:rPr>
        <w:t>.</w:t>
      </w:r>
      <w:r w:rsidR="00787D61">
        <w:rPr>
          <w:color w:val="000000" w:themeColor="text1"/>
        </w:rPr>
        <w:t>10</w:t>
      </w:r>
      <w:r w:rsidR="006F2113">
        <w:rPr>
          <w:color w:val="000000" w:themeColor="text1"/>
        </w:rPr>
        <w:t>,</w:t>
      </w:r>
      <w:r w:rsidR="00787D61">
        <w:rPr>
          <w:color w:val="000000" w:themeColor="text1"/>
        </w:rPr>
        <w:t xml:space="preserve"> o que torna a matriz de julgamento consistente.</w:t>
      </w:r>
    </w:p>
    <w:p w14:paraId="0BCC307D" w14:textId="77777777" w:rsidR="00787D61" w:rsidRDefault="00787D61" w:rsidP="00BD3A13">
      <w:pPr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p w14:paraId="617FF791" w14:textId="6F37076D" w:rsidR="00787D61" w:rsidRDefault="00787D61" w:rsidP="00787D61">
      <w:pPr>
        <w:spacing w:line="240" w:lineRule="auto"/>
        <w:ind w:leftChars="0" w:left="0" w:firstLineChars="0" w:firstLine="0"/>
        <w:jc w:val="center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 xml:space="preserve">Tabela </w:t>
      </w:r>
      <w:r>
        <w:rPr>
          <w:b/>
          <w:color w:val="000000" w:themeColor="text1"/>
          <w:sz w:val="20"/>
          <w:szCs w:val="20"/>
        </w:rPr>
        <w:t>6</w:t>
      </w:r>
      <w:r w:rsidRPr="00527D76">
        <w:rPr>
          <w:b/>
          <w:color w:val="000000" w:themeColor="text1"/>
          <w:sz w:val="20"/>
          <w:szCs w:val="20"/>
        </w:rPr>
        <w:t xml:space="preserve"> –</w:t>
      </w:r>
      <w:r w:rsidR="006F2113">
        <w:rPr>
          <w:b/>
          <w:color w:val="000000" w:themeColor="text1"/>
          <w:sz w:val="20"/>
          <w:szCs w:val="20"/>
        </w:rPr>
        <w:t xml:space="preserve"> </w:t>
      </w:r>
      <w:r w:rsidR="006F2113">
        <w:rPr>
          <w:sz w:val="20"/>
          <w:szCs w:val="20"/>
        </w:rPr>
        <w:t>Relação de c</w:t>
      </w:r>
      <w:r w:rsidR="006F2113" w:rsidRPr="00EB383C">
        <w:rPr>
          <w:sz w:val="20"/>
          <w:szCs w:val="20"/>
        </w:rPr>
        <w:t xml:space="preserve">onsistência </w:t>
      </w:r>
      <w:r w:rsidR="006F2113">
        <w:rPr>
          <w:sz w:val="20"/>
          <w:szCs w:val="20"/>
        </w:rPr>
        <w:t>dos critérios</w:t>
      </w: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9"/>
        <w:gridCol w:w="1471"/>
      </w:tblGrid>
      <w:tr w:rsidR="00787D61" w:rsidRPr="00EB383C" w14:paraId="774EB735" w14:textId="77777777" w:rsidTr="00296777">
        <w:trPr>
          <w:trHeight w:val="157"/>
          <w:jc w:val="center"/>
        </w:trPr>
        <w:tc>
          <w:tcPr>
            <w:tcW w:w="712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21E" w14:textId="77777777" w:rsidR="00787D61" w:rsidRPr="00221CE6" w:rsidRDefault="00787D61" w:rsidP="00221CE6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21CE6">
              <w:rPr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85D2" w14:textId="77777777" w:rsidR="00787D61" w:rsidRPr="00221CE6" w:rsidRDefault="00787D61" w:rsidP="00221CE6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221CE6">
              <w:rPr>
                <w:b/>
                <w:color w:val="000000"/>
                <w:sz w:val="20"/>
                <w:szCs w:val="20"/>
              </w:rPr>
              <w:t>Relação de Consistência</w:t>
            </w:r>
          </w:p>
        </w:tc>
      </w:tr>
      <w:tr w:rsidR="00787D61" w:rsidRPr="00EB383C" w14:paraId="275E6921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5814" w14:textId="77777777" w:rsidR="00787D61" w:rsidRPr="00EB383C" w:rsidRDefault="00787D61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1.      A necessidade de ampliação do cais do porto para atracação de embarcações de longo curso - NACPEL;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BDF4A0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0,10999</w:t>
            </w:r>
          </w:p>
        </w:tc>
      </w:tr>
      <w:tr w:rsidR="00787D61" w:rsidRPr="00EB383C" w14:paraId="5FFB1316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A02" w14:textId="593A1286" w:rsidR="00787D61" w:rsidRPr="00EB383C" w:rsidRDefault="00D4160D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‘</w:t>
            </w:r>
            <w:r w:rsidR="00787D61" w:rsidRPr="00EB383C">
              <w:rPr>
                <w:color w:val="000000"/>
                <w:sz w:val="20"/>
                <w:szCs w:val="20"/>
              </w:rPr>
              <w:t>2.      Melhoria nos acessos atuais por terra e a abertura de acessos às novas áreas de expansão - MATNE;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8B4ED29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0,13940</w:t>
            </w:r>
          </w:p>
        </w:tc>
      </w:tr>
      <w:tr w:rsidR="00787D61" w:rsidRPr="00EB383C" w14:paraId="7342C9ED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20FD" w14:textId="77777777" w:rsidR="00787D61" w:rsidRPr="00EB383C" w:rsidRDefault="00787D61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3.      Integração administrativa das instituições presentes no sistema portuário - IAIPSP;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D6B2A4E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-0,70935</w:t>
            </w:r>
          </w:p>
        </w:tc>
      </w:tr>
      <w:tr w:rsidR="00787D61" w:rsidRPr="00EB383C" w14:paraId="57C3EF36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FE6" w14:textId="77777777" w:rsidR="00787D61" w:rsidRPr="00EB383C" w:rsidRDefault="00787D61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4.       Superação dos entraves jurídicos quanto à ocupação irregular - SDEJOI;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749DD85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0,18671</w:t>
            </w:r>
          </w:p>
        </w:tc>
      </w:tr>
      <w:tr w:rsidR="00787D61" w:rsidRPr="00EB383C" w14:paraId="4EB7B24A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7CA" w14:textId="77777777" w:rsidR="00787D61" w:rsidRPr="00EB383C" w:rsidRDefault="00787D61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5.      A necessidade de realização de obras de dragagem no canal de navegação de acesso ao porto - NRODCN;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8B04E46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0,12849</w:t>
            </w:r>
          </w:p>
        </w:tc>
      </w:tr>
      <w:tr w:rsidR="00787D61" w:rsidRPr="00EB383C" w14:paraId="5D4F8C9D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912" w14:textId="77777777" w:rsidR="00787D61" w:rsidRPr="00EB383C" w:rsidRDefault="00787D61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6.      A necessidade de dotação de equipamentos e pessoal de apoio - NDEEPA;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A37E4C1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0,12734</w:t>
            </w:r>
          </w:p>
        </w:tc>
      </w:tr>
      <w:tr w:rsidR="00787D61" w:rsidRPr="00EB383C" w14:paraId="75DA268C" w14:textId="77777777" w:rsidTr="00221CE6">
        <w:trPr>
          <w:trHeight w:val="165"/>
          <w:jc w:val="center"/>
        </w:trPr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E55" w14:textId="77777777" w:rsidR="00787D61" w:rsidRPr="00EB383C" w:rsidRDefault="00787D61" w:rsidP="00221CE6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7.      As oscilações dos destinos da demanda de soja no mercado internacional em relação ao Porto de Santana - ODSMIPS.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6B38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0,10630</w:t>
            </w:r>
          </w:p>
        </w:tc>
      </w:tr>
      <w:tr w:rsidR="00787D61" w:rsidRPr="00EB383C" w14:paraId="47EA38C4" w14:textId="77777777" w:rsidTr="00221CE6">
        <w:trPr>
          <w:trHeight w:val="218"/>
          <w:jc w:val="center"/>
        </w:trPr>
        <w:tc>
          <w:tcPr>
            <w:tcW w:w="71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B594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∑ - Somatórios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39E3B" w14:textId="77777777" w:rsidR="00787D61" w:rsidRPr="00EB383C" w:rsidRDefault="00787D61" w:rsidP="00221CE6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B383C">
              <w:rPr>
                <w:color w:val="000000"/>
                <w:sz w:val="20"/>
                <w:szCs w:val="20"/>
              </w:rPr>
              <w:t>0,088870</w:t>
            </w:r>
          </w:p>
        </w:tc>
      </w:tr>
    </w:tbl>
    <w:p w14:paraId="456D8EB9" w14:textId="77777777" w:rsidR="006F2113" w:rsidRPr="00527D76" w:rsidRDefault="006F2113" w:rsidP="00221CE6">
      <w:pPr>
        <w:spacing w:line="240" w:lineRule="auto"/>
        <w:ind w:leftChars="0" w:left="284" w:firstLineChars="0" w:firstLine="0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Pr="00527D7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Autores,</w:t>
      </w:r>
      <w:r w:rsidRPr="00527D76">
        <w:rPr>
          <w:color w:val="000000" w:themeColor="text1"/>
          <w:sz w:val="20"/>
          <w:szCs w:val="20"/>
        </w:rPr>
        <w:t xml:space="preserve"> (20</w:t>
      </w:r>
      <w:r>
        <w:rPr>
          <w:color w:val="000000" w:themeColor="text1"/>
          <w:sz w:val="20"/>
          <w:szCs w:val="20"/>
        </w:rPr>
        <w:t>24</w:t>
      </w:r>
      <w:r w:rsidRPr="00527D76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.</w:t>
      </w:r>
    </w:p>
    <w:p w14:paraId="0A4B4683" w14:textId="77777777" w:rsidR="00CE4AA1" w:rsidRDefault="00CE4AA1" w:rsidP="00BD3A13">
      <w:pPr>
        <w:spacing w:line="240" w:lineRule="auto"/>
        <w:ind w:leftChars="0" w:left="0" w:firstLineChars="0" w:firstLine="0"/>
        <w:jc w:val="both"/>
      </w:pPr>
    </w:p>
    <w:p w14:paraId="39A7DE15" w14:textId="5154C1F0" w:rsidR="00A0258A" w:rsidRDefault="00984B5E" w:rsidP="00BD3A13">
      <w:pPr>
        <w:spacing w:line="240" w:lineRule="auto"/>
        <w:ind w:leftChars="0" w:left="0" w:firstLineChars="0" w:firstLine="0"/>
        <w:jc w:val="both"/>
      </w:pPr>
      <w:r>
        <w:t xml:space="preserve">Concluída a quarta etapa, a partir das definições anteriores e das percepções de prioridades, com o cálculo </w:t>
      </w:r>
      <w:r w:rsidR="00787D61" w:rsidRPr="00221CE6">
        <w:t>ponderações</w:t>
      </w:r>
      <w:r w:rsidRPr="00221CE6">
        <w:t xml:space="preserve"> dos critérios, a matriz de julgamentos foi lançada no </w:t>
      </w:r>
      <w:r w:rsidRPr="00221CE6">
        <w:rPr>
          <w:i/>
        </w:rPr>
        <w:t>software Superdecisions</w:t>
      </w:r>
      <w:r w:rsidR="00787D61" w:rsidRPr="00221CE6">
        <w:rPr>
          <w:i/>
        </w:rPr>
        <w:t xml:space="preserve"> </w:t>
      </w:r>
      <w:r w:rsidR="00787D61" w:rsidRPr="00221CE6">
        <w:t>para validação</w:t>
      </w:r>
      <w:r w:rsidRPr="00221CE6">
        <w:t xml:space="preserve">. </w:t>
      </w:r>
    </w:p>
    <w:p w14:paraId="587A5A03" w14:textId="77777777" w:rsidR="00BC7382" w:rsidRDefault="00BC7382" w:rsidP="00BD3A13">
      <w:pPr>
        <w:spacing w:line="240" w:lineRule="auto"/>
        <w:ind w:leftChars="0" w:left="0" w:firstLineChars="0" w:firstLine="0"/>
        <w:jc w:val="both"/>
      </w:pPr>
    </w:p>
    <w:p w14:paraId="37C2D54C" w14:textId="2ADAB18F" w:rsidR="003C3737" w:rsidRPr="00221CE6" w:rsidRDefault="00433ED4" w:rsidP="00BD3A13">
      <w:pPr>
        <w:keepNext/>
        <w:keepLines/>
        <w:spacing w:line="240" w:lineRule="auto"/>
        <w:ind w:leftChars="0" w:left="0" w:firstLineChars="0" w:firstLine="0"/>
        <w:jc w:val="both"/>
        <w:rPr>
          <w:b/>
        </w:rPr>
      </w:pPr>
      <w:r>
        <w:rPr>
          <w:b/>
        </w:rPr>
        <w:t>4</w:t>
      </w:r>
      <w:r w:rsidR="00BA4BEB">
        <w:rPr>
          <w:b/>
        </w:rPr>
        <w:t xml:space="preserve"> </w:t>
      </w:r>
      <w:r w:rsidR="00BA4BEB" w:rsidRPr="00221CE6">
        <w:rPr>
          <w:b/>
        </w:rPr>
        <w:t>RESULTADOS</w:t>
      </w:r>
      <w:r w:rsidR="00B305DD" w:rsidRPr="00221CE6">
        <w:rPr>
          <w:b/>
        </w:rPr>
        <w:t xml:space="preserve"> </w:t>
      </w:r>
      <w:r w:rsidR="009755B9">
        <w:rPr>
          <w:b/>
        </w:rPr>
        <w:t xml:space="preserve">DO </w:t>
      </w:r>
      <w:r w:rsidR="009755B9" w:rsidRPr="00221CE6">
        <w:rPr>
          <w:b/>
          <w:i/>
        </w:rPr>
        <w:t>SUPERDECISIONS</w:t>
      </w:r>
      <w:r w:rsidR="009755B9">
        <w:rPr>
          <w:b/>
        </w:rPr>
        <w:t xml:space="preserve"> E DISCUSSÃO</w:t>
      </w:r>
    </w:p>
    <w:p w14:paraId="5D1850C4" w14:textId="77777777" w:rsidR="006F2113" w:rsidRPr="00221CE6" w:rsidRDefault="006F2113" w:rsidP="00BD3A13">
      <w:pPr>
        <w:keepNext/>
        <w:keepLines/>
        <w:spacing w:line="240" w:lineRule="auto"/>
        <w:ind w:leftChars="0" w:left="0" w:firstLineChars="0" w:firstLine="0"/>
        <w:jc w:val="both"/>
      </w:pPr>
    </w:p>
    <w:p w14:paraId="58DEBEA4" w14:textId="76AC47B0" w:rsidR="00984B5E" w:rsidRDefault="00B305DD" w:rsidP="00221CE6">
      <w:pPr>
        <w:spacing w:line="240" w:lineRule="auto"/>
        <w:ind w:leftChars="0" w:left="0" w:firstLineChars="0" w:firstLine="0"/>
        <w:jc w:val="both"/>
      </w:pPr>
      <w:r w:rsidRPr="00221CE6">
        <w:t xml:space="preserve">Para modelagem </w:t>
      </w:r>
      <w:r w:rsidR="00984B5E" w:rsidRPr="00221CE6">
        <w:t xml:space="preserve">computacional </w:t>
      </w:r>
      <w:r w:rsidRPr="00221CE6">
        <w:t xml:space="preserve">do problema foi utilizado o </w:t>
      </w:r>
      <w:r w:rsidRPr="00221CE6">
        <w:rPr>
          <w:i/>
        </w:rPr>
        <w:t>software Superdecision</w:t>
      </w:r>
      <w:r w:rsidRPr="00221CE6">
        <w:t>s</w:t>
      </w:r>
      <w:r w:rsidR="00984B5E" w:rsidRPr="00221CE6">
        <w:t>,</w:t>
      </w:r>
      <w:r w:rsidRPr="00221CE6">
        <w:t xml:space="preserve"> que possui ampla aplicabilidade em diversas áreas de pesquisa e</w:t>
      </w:r>
      <w:r w:rsidR="00984B5E" w:rsidRPr="00221CE6">
        <w:t>, na</w:t>
      </w:r>
      <w:r w:rsidRPr="00221CE6">
        <w:t xml:space="preserve"> prática</w:t>
      </w:r>
      <w:r w:rsidR="00984B5E" w:rsidRPr="00221CE6">
        <w:t>, serve de apoio à</w:t>
      </w:r>
      <w:r w:rsidRPr="00221CE6">
        <w:t xml:space="preserve"> tomada </w:t>
      </w:r>
      <w:r w:rsidRPr="00221CE6">
        <w:lastRenderedPageBreak/>
        <w:t xml:space="preserve">de decisões estratégicas. A Figura </w:t>
      </w:r>
      <w:r w:rsidR="00BD3A13" w:rsidRPr="00221CE6">
        <w:t>3</w:t>
      </w:r>
      <w:r w:rsidRPr="00221CE6">
        <w:t xml:space="preserve"> demonstra a árvore de hierarquização</w:t>
      </w:r>
      <w:r w:rsidR="00433ED4">
        <w:t xml:space="preserve"> </w:t>
      </w:r>
      <w:r w:rsidR="00433ED4" w:rsidRPr="00221CE6">
        <w:t>(</w:t>
      </w:r>
      <w:r w:rsidR="00433ED4" w:rsidRPr="00221CE6">
        <w:rPr>
          <w:i/>
        </w:rPr>
        <w:t>networ</w:t>
      </w:r>
      <w:r w:rsidR="00433ED4" w:rsidRPr="00221CE6">
        <w:t>k</w:t>
      </w:r>
      <w:r w:rsidR="00433ED4" w:rsidRPr="00221CE6">
        <w:rPr>
          <w:i/>
        </w:rPr>
        <w:t>)</w:t>
      </w:r>
      <w:r w:rsidRPr="00221CE6">
        <w:t xml:space="preserve"> gerada no </w:t>
      </w:r>
      <w:r w:rsidRPr="00221CE6">
        <w:rPr>
          <w:i/>
        </w:rPr>
        <w:t>software</w:t>
      </w:r>
      <w:r w:rsidRPr="00221CE6">
        <w:t xml:space="preserve"> </w:t>
      </w:r>
      <w:r w:rsidRPr="00221CE6">
        <w:rPr>
          <w:i/>
        </w:rPr>
        <w:t>Superdecisions</w:t>
      </w:r>
      <w:r w:rsidRPr="00221CE6">
        <w:t>. Para a construção dessa árvore</w:t>
      </w:r>
      <w:r>
        <w:t xml:space="preserve"> de decisões foram alimentados os sete </w:t>
      </w:r>
      <w:r w:rsidRPr="00221CE6">
        <w:t>critérios de avaliação do desempenho portuário do Porto de Santana</w:t>
      </w:r>
      <w:r w:rsidR="00984B5E" w:rsidRPr="00221CE6">
        <w:t>, obtido na aplicação do método AHP</w:t>
      </w:r>
      <w:r w:rsidR="009755B9">
        <w:t xml:space="preserve">, item </w:t>
      </w:r>
      <w:r w:rsidR="009C5150">
        <w:t>3</w:t>
      </w:r>
      <w:r w:rsidR="009755B9">
        <w:t>.2</w:t>
      </w:r>
      <w:r w:rsidR="00984B5E" w:rsidRPr="00221CE6">
        <w:t>.</w:t>
      </w:r>
      <w:r w:rsidR="00BC7382" w:rsidRPr="00221CE6">
        <w:t xml:space="preserve"> </w:t>
      </w:r>
    </w:p>
    <w:p w14:paraId="7F1C7278" w14:textId="77777777" w:rsidR="009755B9" w:rsidRPr="00221CE6" w:rsidRDefault="009755B9" w:rsidP="00221CE6">
      <w:pPr>
        <w:spacing w:line="240" w:lineRule="auto"/>
        <w:ind w:leftChars="0" w:left="0" w:firstLineChars="0" w:firstLine="0"/>
        <w:jc w:val="both"/>
      </w:pPr>
    </w:p>
    <w:p w14:paraId="6B254D3C" w14:textId="7A009655" w:rsidR="00B305DD" w:rsidRDefault="00002B49" w:rsidP="00221CE6">
      <w:pPr>
        <w:spacing w:line="240" w:lineRule="auto"/>
        <w:ind w:leftChars="0" w:left="0" w:firstLineChars="0" w:firstLine="0"/>
        <w:jc w:val="center"/>
        <w:rPr>
          <w:i/>
        </w:rPr>
      </w:pPr>
      <w:r>
        <w:rPr>
          <w:b/>
          <w:sz w:val="20"/>
          <w:szCs w:val="20"/>
        </w:rPr>
        <w:t xml:space="preserve">Figura </w:t>
      </w:r>
      <w:r w:rsidR="00BD3A13">
        <w:rPr>
          <w:b/>
          <w:sz w:val="20"/>
          <w:szCs w:val="20"/>
        </w:rPr>
        <w:t>3</w:t>
      </w:r>
      <w:r w:rsidR="00B305DD">
        <w:rPr>
          <w:b/>
          <w:sz w:val="20"/>
          <w:szCs w:val="20"/>
        </w:rPr>
        <w:t xml:space="preserve"> – </w:t>
      </w:r>
      <w:r w:rsidR="00B305DD">
        <w:rPr>
          <w:sz w:val="20"/>
          <w:szCs w:val="20"/>
        </w:rPr>
        <w:t xml:space="preserve">Modelo Hierárquico AHP no </w:t>
      </w:r>
      <w:r w:rsidR="00B305DD">
        <w:rPr>
          <w:i/>
          <w:sz w:val="20"/>
          <w:szCs w:val="20"/>
        </w:rPr>
        <w:t>Superdecisions</w:t>
      </w:r>
    </w:p>
    <w:p w14:paraId="1110F97A" w14:textId="237B2B99" w:rsidR="00B305DD" w:rsidRDefault="00B221EC" w:rsidP="00BD3A13">
      <w:pPr>
        <w:spacing w:line="360" w:lineRule="auto"/>
        <w:ind w:leftChars="0" w:left="0" w:firstLineChars="0" w:firstLine="0"/>
        <w:jc w:val="center"/>
        <w:rPr>
          <w:i/>
        </w:rPr>
      </w:pPr>
      <w:r>
        <w:rPr>
          <w:noProof/>
        </w:rPr>
        <w:drawing>
          <wp:inline distT="0" distB="0" distL="0" distR="0" wp14:anchorId="47446034" wp14:editId="6D887016">
            <wp:extent cx="4857688" cy="2560320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9162"/>
                    <a:stretch/>
                  </pic:blipFill>
                  <pic:spPr bwMode="auto">
                    <a:xfrm>
                      <a:off x="0" y="0"/>
                      <a:ext cx="4882716" cy="2573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BE36E5" w14:textId="3BB75969" w:rsidR="00B305DD" w:rsidRDefault="00B305DD" w:rsidP="00BD3A13">
      <w:pPr>
        <w:spacing w:line="240" w:lineRule="auto"/>
        <w:ind w:leftChars="0" w:left="0" w:firstLineChars="0" w:firstLine="0"/>
        <w:jc w:val="center"/>
      </w:pPr>
      <w:r>
        <w:rPr>
          <w:b/>
          <w:color w:val="000000" w:themeColor="text1"/>
          <w:sz w:val="20"/>
          <w:szCs w:val="20"/>
        </w:rPr>
        <w:t>Fonte:</w:t>
      </w:r>
      <w:r>
        <w:rPr>
          <w:color w:val="000000" w:themeColor="text1"/>
          <w:sz w:val="20"/>
          <w:szCs w:val="20"/>
        </w:rPr>
        <w:t xml:space="preserve"> </w:t>
      </w:r>
      <w:r w:rsidR="00984B5E">
        <w:rPr>
          <w:color w:val="000000" w:themeColor="text1"/>
          <w:sz w:val="20"/>
          <w:szCs w:val="20"/>
        </w:rPr>
        <w:t xml:space="preserve">Extraído </w:t>
      </w:r>
      <w:r>
        <w:rPr>
          <w:color w:val="000000" w:themeColor="text1"/>
          <w:sz w:val="20"/>
          <w:szCs w:val="20"/>
        </w:rPr>
        <w:t>pelo</w:t>
      </w:r>
      <w:r w:rsidR="00911DF7">
        <w:rPr>
          <w:color w:val="000000" w:themeColor="text1"/>
          <w:sz w:val="20"/>
          <w:szCs w:val="20"/>
        </w:rPr>
        <w:t xml:space="preserve">s </w:t>
      </w:r>
      <w:r>
        <w:rPr>
          <w:color w:val="000000" w:themeColor="text1"/>
          <w:sz w:val="20"/>
          <w:szCs w:val="20"/>
        </w:rPr>
        <w:t>autor</w:t>
      </w:r>
      <w:r w:rsidR="00DE78B4">
        <w:rPr>
          <w:color w:val="000000" w:themeColor="text1"/>
          <w:sz w:val="20"/>
          <w:szCs w:val="20"/>
        </w:rPr>
        <w:t>es</w:t>
      </w:r>
      <w:r>
        <w:rPr>
          <w:color w:val="000000" w:themeColor="text1"/>
          <w:sz w:val="20"/>
          <w:szCs w:val="20"/>
        </w:rPr>
        <w:t xml:space="preserve"> </w:t>
      </w:r>
      <w:r w:rsidR="00984B5E">
        <w:rPr>
          <w:color w:val="000000" w:themeColor="text1"/>
          <w:sz w:val="20"/>
          <w:szCs w:val="20"/>
        </w:rPr>
        <w:t>da tela d</w:t>
      </w:r>
      <w:r>
        <w:rPr>
          <w:color w:val="000000" w:themeColor="text1"/>
          <w:sz w:val="20"/>
          <w:szCs w:val="20"/>
        </w:rPr>
        <w:t xml:space="preserve">o </w:t>
      </w:r>
      <w:r w:rsidR="00AA6503" w:rsidRPr="009C79BF">
        <w:rPr>
          <w:i/>
          <w:color w:val="000000" w:themeColor="text1"/>
          <w:sz w:val="20"/>
          <w:szCs w:val="20"/>
        </w:rPr>
        <w:t xml:space="preserve">Software </w:t>
      </w:r>
      <w:r w:rsidR="00911DF7" w:rsidRPr="009C79BF">
        <w:rPr>
          <w:i/>
          <w:color w:val="000000" w:themeColor="text1"/>
          <w:sz w:val="20"/>
          <w:szCs w:val="20"/>
        </w:rPr>
        <w:t>Superdecisions</w:t>
      </w:r>
      <w:r w:rsidR="00911DF7" w:rsidDel="00AA6503">
        <w:rPr>
          <w:i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202</w:t>
      </w:r>
      <w:r w:rsidR="00B221EC"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>.</w:t>
      </w:r>
    </w:p>
    <w:p w14:paraId="52CA3A26" w14:textId="77777777" w:rsidR="00B305DD" w:rsidRDefault="00B305DD" w:rsidP="00BD3A13">
      <w:pPr>
        <w:spacing w:line="240" w:lineRule="auto"/>
        <w:ind w:leftChars="0" w:left="0" w:firstLineChars="0" w:firstLine="0"/>
        <w:jc w:val="both"/>
      </w:pPr>
    </w:p>
    <w:p w14:paraId="13012D74" w14:textId="3AF09D8C" w:rsidR="009755B9" w:rsidRDefault="009C5150" w:rsidP="00221CE6">
      <w:pPr>
        <w:spacing w:line="240" w:lineRule="auto"/>
        <w:ind w:leftChars="0" w:left="0" w:firstLineChars="0" w:firstLine="0"/>
        <w:jc w:val="both"/>
      </w:pPr>
      <w:r>
        <w:t>Utilizou-se a interface de questionário para inserir os dados da ponderação na comparação entre critérios (vide Figura 4) e, assim, obter um “</w:t>
      </w:r>
      <w:r>
        <w:rPr>
          <w:i/>
        </w:rPr>
        <w:t>Ranking</w:t>
      </w:r>
      <w:r>
        <w:t xml:space="preserve">”. Esse </w:t>
      </w:r>
      <w:r w:rsidRPr="009C79BF">
        <w:rPr>
          <w:i/>
          <w:iCs/>
        </w:rPr>
        <w:t>ranking</w:t>
      </w:r>
      <w:r>
        <w:t xml:space="preserve"> reflete a ponderação relativa dos diferentes critérios sob estudo, fornecendo uma visão clara das prioridades e importâncias atribuídas a cada elemento no contexto portuário. Na Figura 4 tem-se</w:t>
      </w:r>
      <w:r w:rsidR="00690CDB">
        <w:t xml:space="preserve"> uma amostra parcial</w:t>
      </w:r>
      <w:r>
        <w:t xml:space="preserve"> </w:t>
      </w:r>
      <w:r w:rsidR="00690CDB">
        <w:t>d</w:t>
      </w:r>
      <w:r>
        <w:t>a matriz de julgamento com as respectivas ponderações de cada critério.</w:t>
      </w:r>
      <w:r w:rsidR="00690CDB" w:rsidRPr="00690CDB">
        <w:t xml:space="preserve"> </w:t>
      </w:r>
      <w:r w:rsidR="00690CDB">
        <w:t xml:space="preserve">Com a interpretação desse </w:t>
      </w:r>
      <w:r w:rsidR="00690CDB">
        <w:rPr>
          <w:i/>
        </w:rPr>
        <w:t>Ranking</w:t>
      </w:r>
      <w:r w:rsidR="00690CDB">
        <w:t>, pode-se identificar os critérios que se destacam em importância.</w:t>
      </w:r>
    </w:p>
    <w:p w14:paraId="1E736EDA" w14:textId="77777777" w:rsidR="009755B9" w:rsidRDefault="009755B9" w:rsidP="00221CE6">
      <w:pPr>
        <w:spacing w:line="240" w:lineRule="auto"/>
        <w:ind w:leftChars="0" w:left="0" w:firstLineChars="0" w:firstLine="0"/>
        <w:jc w:val="both"/>
      </w:pPr>
    </w:p>
    <w:p w14:paraId="2035CAD3" w14:textId="77777777" w:rsidR="009755B9" w:rsidRPr="000F42A1" w:rsidRDefault="009755B9" w:rsidP="00221CE6">
      <w:pPr>
        <w:spacing w:line="240" w:lineRule="auto"/>
        <w:ind w:leftChars="0" w:left="0" w:firstLineChars="0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Figura 4</w:t>
      </w:r>
      <w:r w:rsidRPr="000F42A1">
        <w:rPr>
          <w:b/>
          <w:sz w:val="20"/>
          <w:szCs w:val="20"/>
        </w:rPr>
        <w:t xml:space="preserve"> – </w:t>
      </w:r>
      <w:r w:rsidRPr="000F42A1">
        <w:rPr>
          <w:sz w:val="20"/>
          <w:szCs w:val="20"/>
        </w:rPr>
        <w:t>Matriz de julgamento para os pesos dos critérios</w:t>
      </w:r>
    </w:p>
    <w:p w14:paraId="4AB2B3D4" w14:textId="77777777" w:rsidR="009755B9" w:rsidRDefault="009755B9" w:rsidP="009755B9">
      <w:pPr>
        <w:spacing w:line="240" w:lineRule="auto"/>
        <w:ind w:leftChars="0" w:left="0" w:firstLineChars="0" w:firstLine="0"/>
        <w:jc w:val="center"/>
      </w:pPr>
      <w:r>
        <w:rPr>
          <w:noProof/>
        </w:rPr>
        <w:drawing>
          <wp:inline distT="0" distB="0" distL="0" distR="0" wp14:anchorId="3BA5B039" wp14:editId="30391191">
            <wp:extent cx="4304536" cy="3328416"/>
            <wp:effectExtent l="0" t="0" r="127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30" cy="338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A82D" w14:textId="2E8740C2" w:rsidR="009755B9" w:rsidRDefault="009755B9" w:rsidP="009755B9">
      <w:pPr>
        <w:spacing w:line="240" w:lineRule="auto"/>
        <w:ind w:leftChars="0" w:left="0" w:firstLineChars="0" w:firstLine="0"/>
        <w:jc w:val="center"/>
      </w:pPr>
      <w:r>
        <w:rPr>
          <w:b/>
          <w:color w:val="000000" w:themeColor="text1"/>
          <w:sz w:val="20"/>
          <w:szCs w:val="20"/>
        </w:rPr>
        <w:t>Fonte:</w:t>
      </w:r>
      <w:r>
        <w:rPr>
          <w:color w:val="000000" w:themeColor="text1"/>
          <w:sz w:val="20"/>
          <w:szCs w:val="20"/>
        </w:rPr>
        <w:t xml:space="preserve"> Extraído pelos autores da tela do </w:t>
      </w:r>
      <w:r w:rsidR="00AA6503" w:rsidRPr="009C79BF">
        <w:rPr>
          <w:i/>
          <w:color w:val="000000" w:themeColor="text1"/>
          <w:sz w:val="20"/>
          <w:szCs w:val="20"/>
        </w:rPr>
        <w:t>Software Superdecisions</w:t>
      </w:r>
      <w:r>
        <w:rPr>
          <w:color w:val="000000" w:themeColor="text1"/>
          <w:sz w:val="20"/>
          <w:szCs w:val="20"/>
        </w:rPr>
        <w:t>, 2024.</w:t>
      </w:r>
    </w:p>
    <w:p w14:paraId="5039C018" w14:textId="428B6F98" w:rsidR="00690CDB" w:rsidRDefault="00690CDB" w:rsidP="00BD3A13">
      <w:pPr>
        <w:spacing w:line="240" w:lineRule="auto"/>
        <w:ind w:leftChars="0" w:left="0" w:firstLineChars="0" w:firstLine="0"/>
        <w:jc w:val="both"/>
      </w:pPr>
      <w:r>
        <w:lastRenderedPageBreak/>
        <w:t xml:space="preserve">Na sequência, </w:t>
      </w:r>
      <w:r w:rsidR="00A43F8F">
        <w:t xml:space="preserve">o software gerou o índice </w:t>
      </w:r>
      <w:r w:rsidR="00A43F8F" w:rsidRPr="009C79BF">
        <w:t>de consistência, caracterizado por “</w:t>
      </w:r>
      <w:r w:rsidR="00A43F8F" w:rsidRPr="009C79BF">
        <w:rPr>
          <w:i/>
        </w:rPr>
        <w:t>inconsistency</w:t>
      </w:r>
      <w:r w:rsidR="00A43F8F" w:rsidRPr="009C79BF">
        <w:t xml:space="preserve">”, representado na Figura 5. </w:t>
      </w:r>
      <w:r w:rsidR="00AA6503">
        <w:t xml:space="preserve">Nesta aba de resultados do </w:t>
      </w:r>
      <w:r w:rsidR="00AA6503">
        <w:rPr>
          <w:i/>
        </w:rPr>
        <w:t>software</w:t>
      </w:r>
      <w:r w:rsidR="00AA6503">
        <w:t>, encontram-se os valores de relevância de cada critério, que faz menção à respectiva hierarquização dos mesmos, que pode ser analisado pelos valores pelas porcentagens e pelas barras azuis. Os resultados revelam que o critério mais relevante é “</w:t>
      </w:r>
      <w:r w:rsidR="00AA6503">
        <w:rPr>
          <w:color w:val="000000"/>
        </w:rPr>
        <w:t>A necessidade de ampliação do cais do porto para atracação de embarcações de longo curso - NACPEL</w:t>
      </w:r>
      <w:r w:rsidR="00AA6503">
        <w:t>”, referente a disponibilidade de acesso, com 44,74% de prioridade, seguindo de “</w:t>
      </w:r>
      <w:r w:rsidR="00AA6503">
        <w:rPr>
          <w:color w:val="000000"/>
        </w:rPr>
        <w:t>Melhoria nos acessos atuais por terra e a abertura de acessos às novas áreas de expansão – MATNE”, com prioridade de 25,10%.</w:t>
      </w:r>
      <w:r w:rsidR="00AA6503">
        <w:t xml:space="preserve"> </w:t>
      </w:r>
      <w:r>
        <w:t>Com o pressuposto de</w:t>
      </w:r>
      <w:r w:rsidRPr="009C79BF">
        <w:t xml:space="preserve"> que o índice de consistência d</w:t>
      </w:r>
      <w:r>
        <w:t>eva</w:t>
      </w:r>
      <w:r w:rsidRPr="009C79BF">
        <w:t xml:space="preserve"> ser meno</w:t>
      </w:r>
      <w:r>
        <w:t>r</w:t>
      </w:r>
      <w:r w:rsidRPr="009C79BF">
        <w:t xml:space="preserve"> que 1, </w:t>
      </w:r>
      <w:r>
        <w:t xml:space="preserve">observou-se um resultado de </w:t>
      </w:r>
      <w:r w:rsidRPr="009C79BF">
        <w:t xml:space="preserve">0,09784, ou seja, a comparação feita no cluster de nível </w:t>
      </w:r>
      <w:r w:rsidRPr="00221CE6">
        <w:t>critério, referente aos indicadores é consistente</w:t>
      </w:r>
      <w:r w:rsidR="002A4682" w:rsidRPr="00221CE6">
        <w:t>, com RC&lt; 0.10, muito próximo ao RC do método AHP</w:t>
      </w:r>
      <w:r w:rsidR="00AA6503" w:rsidRPr="00221CE6">
        <w:t xml:space="preserve"> </w:t>
      </w:r>
      <w:r w:rsidR="002A4682">
        <w:t xml:space="preserve">de </w:t>
      </w:r>
      <w:r w:rsidR="002A4682" w:rsidRPr="00221CE6">
        <w:rPr>
          <w:color w:val="000000"/>
        </w:rPr>
        <w:t>0,08887.</w:t>
      </w:r>
    </w:p>
    <w:p w14:paraId="36B670D6" w14:textId="77777777" w:rsidR="00690CDB" w:rsidRDefault="00690CDB" w:rsidP="00BD3A13">
      <w:pPr>
        <w:spacing w:line="240" w:lineRule="auto"/>
        <w:ind w:leftChars="0" w:left="0" w:firstLineChars="0" w:firstLine="0"/>
        <w:jc w:val="both"/>
      </w:pPr>
    </w:p>
    <w:p w14:paraId="22CB37A5" w14:textId="77777777" w:rsidR="00690CDB" w:rsidRDefault="00690CDB" w:rsidP="00690CDB">
      <w:pPr>
        <w:spacing w:line="240" w:lineRule="auto"/>
        <w:ind w:leftChars="0" w:left="0" w:firstLineChars="0" w:firstLine="0"/>
        <w:jc w:val="center"/>
        <w:rPr>
          <w:i/>
          <w:sz w:val="20"/>
          <w:szCs w:val="20"/>
        </w:rPr>
      </w:pPr>
      <w:r w:rsidRPr="00002B49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5</w:t>
      </w:r>
      <w:r w:rsidRPr="00002B49">
        <w:rPr>
          <w:b/>
          <w:sz w:val="20"/>
          <w:szCs w:val="20"/>
        </w:rPr>
        <w:t xml:space="preserve"> – </w:t>
      </w:r>
      <w:r w:rsidRPr="00002B49">
        <w:rPr>
          <w:sz w:val="20"/>
          <w:szCs w:val="20"/>
        </w:rPr>
        <w:t xml:space="preserve">Inconsistência dos critérios no </w:t>
      </w:r>
      <w:r w:rsidRPr="00002B49">
        <w:rPr>
          <w:i/>
          <w:sz w:val="20"/>
          <w:szCs w:val="20"/>
        </w:rPr>
        <w:t>Superdecisions</w:t>
      </w:r>
    </w:p>
    <w:p w14:paraId="692289FC" w14:textId="77777777" w:rsidR="00690CDB" w:rsidRDefault="00690CDB" w:rsidP="00690CDB">
      <w:pPr>
        <w:spacing w:line="240" w:lineRule="auto"/>
        <w:ind w:leftChars="0" w:left="0" w:firstLineChars="0" w:firstLine="0"/>
        <w:jc w:val="center"/>
      </w:pPr>
      <w:r>
        <w:rPr>
          <w:noProof/>
        </w:rPr>
        <w:drawing>
          <wp:inline distT="0" distB="0" distL="0" distR="0" wp14:anchorId="42FDD6E7" wp14:editId="56FD03B3">
            <wp:extent cx="3438177" cy="173370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49" cy="175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689A" w14:textId="425D80A8" w:rsidR="00690CDB" w:rsidRDefault="00690CDB" w:rsidP="00690CDB">
      <w:pPr>
        <w:spacing w:line="240" w:lineRule="auto"/>
        <w:ind w:leftChars="0" w:left="0" w:firstLineChars="0" w:firstLine="0"/>
        <w:jc w:val="center"/>
      </w:pPr>
      <w:r>
        <w:rPr>
          <w:b/>
          <w:color w:val="000000" w:themeColor="text1"/>
          <w:sz w:val="20"/>
          <w:szCs w:val="20"/>
        </w:rPr>
        <w:t>Fonte:</w:t>
      </w:r>
      <w:r>
        <w:rPr>
          <w:color w:val="000000" w:themeColor="text1"/>
          <w:sz w:val="20"/>
          <w:szCs w:val="20"/>
        </w:rPr>
        <w:t xml:space="preserve"> Extraído pelos autores da tela do </w:t>
      </w:r>
      <w:r w:rsidR="00AA6503" w:rsidRPr="009C79BF">
        <w:rPr>
          <w:i/>
          <w:color w:val="000000" w:themeColor="text1"/>
          <w:sz w:val="20"/>
          <w:szCs w:val="20"/>
        </w:rPr>
        <w:t>Software Superdecisions</w:t>
      </w:r>
      <w:r>
        <w:rPr>
          <w:color w:val="000000" w:themeColor="text1"/>
          <w:sz w:val="20"/>
          <w:szCs w:val="20"/>
        </w:rPr>
        <w:t>, 2024.</w:t>
      </w:r>
    </w:p>
    <w:p w14:paraId="1FC14E17" w14:textId="224DF883" w:rsidR="00690CDB" w:rsidRDefault="00690CDB" w:rsidP="00BD3A13">
      <w:pPr>
        <w:spacing w:line="240" w:lineRule="auto"/>
        <w:ind w:leftChars="0" w:left="0" w:firstLineChars="0" w:firstLine="0"/>
        <w:jc w:val="both"/>
      </w:pPr>
    </w:p>
    <w:p w14:paraId="46E615D4" w14:textId="45031C25" w:rsidR="00DA5B8D" w:rsidRDefault="00690CDB" w:rsidP="00221CE6">
      <w:pPr>
        <w:spacing w:line="240" w:lineRule="auto"/>
        <w:ind w:leftChars="0" w:left="0" w:firstLineChars="0" w:firstLine="0"/>
        <w:jc w:val="both"/>
      </w:pPr>
      <w:r>
        <w:t xml:space="preserve">A </w:t>
      </w:r>
      <w:r w:rsidRPr="00221CE6">
        <w:t xml:space="preserve">Tabela 7 </w:t>
      </w:r>
      <w:r w:rsidR="00AA6503" w:rsidRPr="00221CE6">
        <w:t xml:space="preserve">apresenta </w:t>
      </w:r>
      <w:r w:rsidR="00AA6503" w:rsidRPr="00221CE6">
        <w:rPr>
          <w:i/>
        </w:rPr>
        <w:t>Ranking</w:t>
      </w:r>
      <w:r w:rsidR="00AA6503" w:rsidRPr="00221CE6">
        <w:t xml:space="preserve"> de hierarquização dos critérios analisados</w:t>
      </w:r>
      <w:r w:rsidR="00AA6503">
        <w:t xml:space="preserve">. </w:t>
      </w:r>
      <w:r w:rsidR="008E2F13">
        <w:t>N</w:t>
      </w:r>
      <w:r w:rsidR="000A7308">
        <w:t>a primeira coluna</w:t>
      </w:r>
      <w:r w:rsidR="006F1545">
        <w:t>,</w:t>
      </w:r>
      <w:r w:rsidR="000A7308">
        <w:t xml:space="preserve"> </w:t>
      </w:r>
      <w:r w:rsidR="00BA6FBE">
        <w:t>são exi</w:t>
      </w:r>
      <w:r w:rsidR="005E0E3C">
        <w:t xml:space="preserve">bidas </w:t>
      </w:r>
      <w:r w:rsidR="00B57719">
        <w:t>as porcentagens</w:t>
      </w:r>
      <w:r w:rsidR="000A7308">
        <w:t xml:space="preserve"> referente</w:t>
      </w:r>
      <w:r w:rsidR="005E0E3C">
        <w:t>s</w:t>
      </w:r>
      <w:r w:rsidR="000A7308">
        <w:t xml:space="preserve"> </w:t>
      </w:r>
      <w:r w:rsidR="006F1545">
        <w:t>à</w:t>
      </w:r>
      <w:r w:rsidR="005E0E3C">
        <w:t>s</w:t>
      </w:r>
      <w:r w:rsidR="000A7308">
        <w:t xml:space="preserve"> relevância</w:t>
      </w:r>
      <w:r w:rsidR="005E0E3C">
        <w:t>s</w:t>
      </w:r>
      <w:r w:rsidR="000A7308">
        <w:t xml:space="preserve"> </w:t>
      </w:r>
      <w:r w:rsidR="006F1545">
        <w:t xml:space="preserve">de </w:t>
      </w:r>
      <w:r w:rsidR="000A7308">
        <w:t>cada critério</w:t>
      </w:r>
      <w:r w:rsidR="005E0E3C">
        <w:t>; na</w:t>
      </w:r>
      <w:r w:rsidR="000A7308">
        <w:t xml:space="preserve"> </w:t>
      </w:r>
      <w:r w:rsidR="00B22868">
        <w:t xml:space="preserve">segunda </w:t>
      </w:r>
      <w:r w:rsidR="000A7308">
        <w:t>coluna</w:t>
      </w:r>
      <w:r w:rsidR="00B22868">
        <w:t>,</w:t>
      </w:r>
      <w:r w:rsidR="000A7308">
        <w:t xml:space="preserve"> </w:t>
      </w:r>
      <w:r w:rsidR="00E810DC">
        <w:t>estão as identificações dos critérios</w:t>
      </w:r>
      <w:r w:rsidR="000A7308">
        <w:t xml:space="preserve"> e</w:t>
      </w:r>
      <w:r w:rsidR="00BA6FBE">
        <w:t>,</w:t>
      </w:r>
      <w:r w:rsidR="000A7308">
        <w:t xml:space="preserve"> na terceira coluna</w:t>
      </w:r>
      <w:r w:rsidR="00BA6FBE">
        <w:t>,</w:t>
      </w:r>
      <w:r w:rsidR="000A7308">
        <w:t xml:space="preserve"> </w:t>
      </w:r>
      <w:r w:rsidR="00AA6503">
        <w:t>o</w:t>
      </w:r>
      <w:r w:rsidR="00BA6FBE">
        <w:t>s respectiv</w:t>
      </w:r>
      <w:r w:rsidR="00AA6503">
        <w:t>os</w:t>
      </w:r>
      <w:r w:rsidR="00BA6FBE">
        <w:t xml:space="preserve"> </w:t>
      </w:r>
      <w:r w:rsidR="00AA6503" w:rsidRPr="00221CE6">
        <w:rPr>
          <w:i/>
        </w:rPr>
        <w:t>ranking</w:t>
      </w:r>
      <w:r w:rsidR="00434CA3">
        <w:rPr>
          <w:i/>
        </w:rPr>
        <w:t>s</w:t>
      </w:r>
      <w:r w:rsidR="000A7308">
        <w:t xml:space="preserve">. </w:t>
      </w:r>
    </w:p>
    <w:p w14:paraId="347BB9E6" w14:textId="77777777" w:rsidR="00AA6503" w:rsidRDefault="00AA6503" w:rsidP="00221CE6">
      <w:pPr>
        <w:spacing w:line="240" w:lineRule="auto"/>
        <w:ind w:leftChars="0" w:left="0" w:firstLineChars="0" w:firstLine="0"/>
        <w:jc w:val="both"/>
      </w:pPr>
    </w:p>
    <w:p w14:paraId="10B8EEC6" w14:textId="3938FD87" w:rsidR="000A7308" w:rsidRDefault="000A7308" w:rsidP="00221CE6">
      <w:pPr>
        <w:spacing w:line="240" w:lineRule="auto"/>
        <w:ind w:leftChars="0" w:left="0" w:firstLineChars="0" w:firstLine="0"/>
        <w:jc w:val="center"/>
        <w:rPr>
          <w:sz w:val="20"/>
          <w:szCs w:val="20"/>
        </w:rPr>
      </w:pPr>
      <w:r w:rsidRPr="00002B49">
        <w:rPr>
          <w:b/>
          <w:sz w:val="20"/>
          <w:szCs w:val="20"/>
        </w:rPr>
        <w:t xml:space="preserve">Tabela </w:t>
      </w:r>
      <w:r w:rsidR="00D4160D">
        <w:rPr>
          <w:b/>
          <w:sz w:val="20"/>
          <w:szCs w:val="20"/>
        </w:rPr>
        <w:t>7</w:t>
      </w:r>
      <w:r w:rsidRPr="00002B49">
        <w:rPr>
          <w:b/>
          <w:sz w:val="20"/>
          <w:szCs w:val="20"/>
        </w:rPr>
        <w:t xml:space="preserve"> – </w:t>
      </w:r>
      <w:r w:rsidRPr="00002B49">
        <w:rPr>
          <w:i/>
          <w:sz w:val="20"/>
          <w:szCs w:val="20"/>
        </w:rPr>
        <w:t>Ranking</w:t>
      </w:r>
      <w:r w:rsidRPr="00002B49">
        <w:rPr>
          <w:sz w:val="20"/>
          <w:szCs w:val="20"/>
        </w:rPr>
        <w:t xml:space="preserve"> de hierarquização dos critérios analisados</w:t>
      </w:r>
    </w:p>
    <w:tbl>
      <w:tblPr>
        <w:tblW w:w="6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2393"/>
        <w:gridCol w:w="2393"/>
      </w:tblGrid>
      <w:tr w:rsidR="000A7308" w:rsidRPr="00DA5B8D" w14:paraId="7232A0F8" w14:textId="77777777" w:rsidTr="00296777">
        <w:trPr>
          <w:trHeight w:val="329"/>
          <w:jc w:val="center"/>
        </w:trPr>
        <w:tc>
          <w:tcPr>
            <w:tcW w:w="17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ACD93B" w14:textId="77777777" w:rsidR="000A7308" w:rsidRPr="00296777" w:rsidRDefault="000A7308" w:rsidP="00BD3A13">
            <w:pPr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  <w:lang w:eastAsia="pt-PT"/>
              </w:rPr>
            </w:pPr>
            <w:bookmarkStart w:id="2" w:name="_GoBack" w:colFirst="0" w:colLast="2"/>
            <w:r w:rsidRPr="00296777">
              <w:rPr>
                <w:b/>
                <w:bCs/>
                <w:color w:val="000000"/>
                <w:sz w:val="20"/>
                <w:szCs w:val="20"/>
                <w:lang w:eastAsia="pt-PT"/>
              </w:rPr>
              <w:t>%</w:t>
            </w:r>
          </w:p>
        </w:tc>
        <w:tc>
          <w:tcPr>
            <w:tcW w:w="23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F1661DB" w14:textId="58C7F05A" w:rsidR="000A7308" w:rsidRPr="00296777" w:rsidRDefault="000A7308" w:rsidP="00BD3A13">
            <w:pPr>
              <w:ind w:leftChars="0" w:left="0" w:firstLineChars="0" w:firstLine="0"/>
              <w:jc w:val="center"/>
              <w:rPr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296777">
              <w:rPr>
                <w:b/>
                <w:bCs/>
                <w:color w:val="000000"/>
                <w:sz w:val="20"/>
                <w:szCs w:val="20"/>
                <w:lang w:eastAsia="pt-PT"/>
              </w:rPr>
              <w:t>Critério</w:t>
            </w:r>
            <w:r w:rsidR="00AA6503" w:rsidRPr="00296777">
              <w:rPr>
                <w:b/>
                <w:bCs/>
                <w:color w:val="000000"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23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8B4FBF5" w14:textId="77777777" w:rsidR="000A7308" w:rsidRPr="00296777" w:rsidRDefault="000A7308" w:rsidP="00BD3A13">
            <w:pPr>
              <w:ind w:leftChars="0" w:left="0" w:firstLineChars="0" w:firstLine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PT"/>
              </w:rPr>
            </w:pPr>
            <w:r w:rsidRPr="00296777">
              <w:rPr>
                <w:b/>
                <w:bCs/>
                <w:i/>
                <w:color w:val="000000"/>
                <w:sz w:val="20"/>
                <w:szCs w:val="20"/>
                <w:lang w:eastAsia="pt-PT"/>
              </w:rPr>
              <w:t>Ranking</w:t>
            </w:r>
          </w:p>
        </w:tc>
      </w:tr>
      <w:bookmarkEnd w:id="2"/>
      <w:tr w:rsidR="000A7308" w:rsidRPr="00DA5B8D" w14:paraId="1FA50DCD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B56486D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44,74%</w:t>
            </w:r>
          </w:p>
        </w:tc>
        <w:tc>
          <w:tcPr>
            <w:tcW w:w="239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8253AAA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NACPEL</w:t>
            </w:r>
          </w:p>
        </w:tc>
        <w:tc>
          <w:tcPr>
            <w:tcW w:w="239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86706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1°</w:t>
            </w:r>
          </w:p>
        </w:tc>
      </w:tr>
      <w:tr w:rsidR="000A7308" w:rsidRPr="00DA5B8D" w14:paraId="2C9356E0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A0F22EE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25,10%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1BBB371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MATNE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28DFCB9F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2°</w:t>
            </w:r>
          </w:p>
        </w:tc>
      </w:tr>
      <w:tr w:rsidR="000A7308" w:rsidRPr="00DA5B8D" w14:paraId="236DF56B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B788720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10,28%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9E48F7F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IAIPSP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061CFCE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3°</w:t>
            </w:r>
          </w:p>
        </w:tc>
      </w:tr>
      <w:tr w:rsidR="000A7308" w:rsidRPr="00DA5B8D" w14:paraId="28B1AFE8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C6CCCB5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8,53%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4F6167F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SDEJOI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6FC9B856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4°</w:t>
            </w:r>
          </w:p>
        </w:tc>
      </w:tr>
      <w:tr w:rsidR="000A7308" w:rsidRPr="00DA5B8D" w14:paraId="39A3F625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3B62A14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5,94%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3E791017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NRODCN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456B1F7E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5°</w:t>
            </w:r>
          </w:p>
        </w:tc>
      </w:tr>
      <w:tr w:rsidR="000A7308" w:rsidRPr="00DA5B8D" w14:paraId="17C9472E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226CD52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2,92%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059FA181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NDEEPA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580375C1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6°</w:t>
            </w:r>
          </w:p>
        </w:tc>
      </w:tr>
      <w:tr w:rsidR="000A7308" w:rsidRPr="00DA5B8D" w14:paraId="5395EE02" w14:textId="77777777" w:rsidTr="00434CA3">
        <w:trPr>
          <w:trHeight w:val="329"/>
          <w:jc w:val="center"/>
        </w:trPr>
        <w:tc>
          <w:tcPr>
            <w:tcW w:w="179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1FBC6FED" w14:textId="77777777" w:rsidR="000A7308" w:rsidRPr="00221CE6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221CE6">
              <w:rPr>
                <w:bCs/>
                <w:color w:val="000000"/>
                <w:sz w:val="20"/>
                <w:szCs w:val="20"/>
                <w:lang w:eastAsia="pt-PT"/>
              </w:rPr>
              <w:t>2,46%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B1EA420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ODSMIPS</w:t>
            </w:r>
          </w:p>
        </w:tc>
        <w:tc>
          <w:tcPr>
            <w:tcW w:w="2393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18B2EFA" w14:textId="77777777" w:rsidR="000A7308" w:rsidRPr="00DA5B8D" w:rsidRDefault="000A7308" w:rsidP="00BD3A13">
            <w:pPr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  <w:lang w:eastAsia="pt-PT"/>
              </w:rPr>
            </w:pPr>
            <w:r w:rsidRPr="00DA5B8D">
              <w:rPr>
                <w:bCs/>
                <w:color w:val="000000"/>
                <w:sz w:val="20"/>
                <w:szCs w:val="20"/>
                <w:lang w:eastAsia="pt-PT"/>
              </w:rPr>
              <w:t>7°</w:t>
            </w:r>
          </w:p>
        </w:tc>
      </w:tr>
    </w:tbl>
    <w:p w14:paraId="4623C19E" w14:textId="6043F0CD" w:rsidR="00D4160D" w:rsidRPr="00527D76" w:rsidRDefault="00D4160D" w:rsidP="00221CE6">
      <w:pPr>
        <w:spacing w:line="240" w:lineRule="auto"/>
        <w:ind w:leftChars="0" w:left="1418" w:firstLineChars="0" w:firstLine="0"/>
        <w:rPr>
          <w:color w:val="000000" w:themeColor="text1"/>
          <w:sz w:val="20"/>
          <w:szCs w:val="20"/>
        </w:rPr>
      </w:pPr>
      <w:r w:rsidRPr="00527D76">
        <w:rPr>
          <w:b/>
          <w:color w:val="000000" w:themeColor="text1"/>
          <w:sz w:val="20"/>
          <w:szCs w:val="20"/>
        </w:rPr>
        <w:t>Fonte:</w:t>
      </w:r>
      <w:r w:rsidRPr="00527D76">
        <w:rPr>
          <w:color w:val="000000" w:themeColor="text1"/>
          <w:sz w:val="20"/>
          <w:szCs w:val="20"/>
        </w:rPr>
        <w:t xml:space="preserve"> </w:t>
      </w:r>
      <w:r w:rsidR="00AA6503">
        <w:rPr>
          <w:color w:val="000000" w:themeColor="text1"/>
          <w:sz w:val="20"/>
          <w:szCs w:val="20"/>
        </w:rPr>
        <w:t>Elaborado pelos a</w:t>
      </w:r>
      <w:r>
        <w:rPr>
          <w:color w:val="000000" w:themeColor="text1"/>
          <w:sz w:val="20"/>
          <w:szCs w:val="20"/>
        </w:rPr>
        <w:t>utores</w:t>
      </w:r>
      <w:r w:rsidR="00AA6503">
        <w:rPr>
          <w:color w:val="000000" w:themeColor="text1"/>
          <w:sz w:val="20"/>
          <w:szCs w:val="20"/>
        </w:rPr>
        <w:t xml:space="preserve"> a partir dos resultados do </w:t>
      </w:r>
      <w:r w:rsidR="00AA6503" w:rsidRPr="00221CE6">
        <w:rPr>
          <w:i/>
          <w:color w:val="000000" w:themeColor="text1"/>
          <w:sz w:val="20"/>
          <w:szCs w:val="20"/>
        </w:rPr>
        <w:t>Software Superdecisions</w:t>
      </w:r>
      <w:r>
        <w:rPr>
          <w:color w:val="000000" w:themeColor="text1"/>
          <w:sz w:val="20"/>
          <w:szCs w:val="20"/>
        </w:rPr>
        <w:t>,</w:t>
      </w:r>
      <w:r w:rsidRPr="00527D76">
        <w:rPr>
          <w:color w:val="000000" w:themeColor="text1"/>
          <w:sz w:val="20"/>
          <w:szCs w:val="20"/>
        </w:rPr>
        <w:t xml:space="preserve"> (20</w:t>
      </w:r>
      <w:r>
        <w:rPr>
          <w:color w:val="000000" w:themeColor="text1"/>
          <w:sz w:val="20"/>
          <w:szCs w:val="20"/>
        </w:rPr>
        <w:t>24</w:t>
      </w:r>
      <w:r w:rsidRPr="00527D76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.</w:t>
      </w:r>
    </w:p>
    <w:p w14:paraId="39D89D9E" w14:textId="77777777" w:rsidR="000A7308" w:rsidRDefault="000A7308" w:rsidP="00BD3A13">
      <w:pPr>
        <w:ind w:leftChars="0" w:left="0" w:firstLineChars="0" w:firstLine="0"/>
        <w:jc w:val="both"/>
      </w:pPr>
    </w:p>
    <w:p w14:paraId="2982291F" w14:textId="111B6C76" w:rsidR="00221CE6" w:rsidRDefault="00850094" w:rsidP="00BD3A13">
      <w:pPr>
        <w:ind w:leftChars="0" w:left="0" w:firstLineChars="0" w:firstLine="0"/>
        <w:jc w:val="both"/>
      </w:pPr>
      <w:r>
        <w:t>Os resultados</w:t>
      </w:r>
      <w:r w:rsidR="00CA7E6B" w:rsidRPr="00A243B9">
        <w:t xml:space="preserve"> </w:t>
      </w:r>
      <w:r w:rsidR="00AA6503">
        <w:t xml:space="preserve">são compatíveis com a hierarquização de critérios </w:t>
      </w:r>
      <w:r w:rsidR="002A4682">
        <w:t xml:space="preserve">da Tabela 5 pelo método AHP. </w:t>
      </w:r>
      <w:r w:rsidR="00CA7E6B" w:rsidRPr="00A243B9">
        <w:t>O critério "A necessidade de ampliação do cais do porto para atracação de embarcações de longo curso - NACPEL" lider</w:t>
      </w:r>
      <w:r>
        <w:t>a</w:t>
      </w:r>
      <w:r w:rsidR="00CA7E6B" w:rsidRPr="00A243B9">
        <w:t xml:space="preserve"> o </w:t>
      </w:r>
      <w:r w:rsidR="00CA7E6B" w:rsidRPr="00221CE6">
        <w:rPr>
          <w:i/>
        </w:rPr>
        <w:t>ranking</w:t>
      </w:r>
      <w:r w:rsidR="00CA7E6B" w:rsidRPr="00A243B9">
        <w:t xml:space="preserve"> com uma participação significativa de </w:t>
      </w:r>
      <w:r w:rsidR="001B2451" w:rsidRPr="00A243B9">
        <w:t>39</w:t>
      </w:r>
      <w:r w:rsidR="00CA7E6B" w:rsidRPr="00A243B9">
        <w:t>,</w:t>
      </w:r>
      <w:r w:rsidR="001B2451" w:rsidRPr="00A243B9">
        <w:t>49</w:t>
      </w:r>
      <w:r w:rsidR="00CA7E6B" w:rsidRPr="00A243B9">
        <w:t xml:space="preserve">%, destacando-se como </w:t>
      </w:r>
      <w:r>
        <w:t>tendo a</w:t>
      </w:r>
      <w:r w:rsidR="00067662" w:rsidRPr="00A243B9">
        <w:t xml:space="preserve"> maior prioridade</w:t>
      </w:r>
      <w:r w:rsidR="00CA7E6B" w:rsidRPr="00A243B9">
        <w:t>. Em segundo lugar, a "Melhoria nos acessos atuais por terra e a abertura de acessos às novas áreas de expansão - MATNE" contribu</w:t>
      </w:r>
      <w:r>
        <w:t>i</w:t>
      </w:r>
      <w:r w:rsidR="00067662" w:rsidRPr="00A243B9">
        <w:t xml:space="preserve"> em</w:t>
      </w:r>
      <w:r w:rsidR="00CA7E6B" w:rsidRPr="00A243B9">
        <w:t xml:space="preserve"> </w:t>
      </w:r>
      <w:r w:rsidR="001B2451" w:rsidRPr="00A243B9">
        <w:t>28</w:t>
      </w:r>
      <w:r w:rsidR="00CA7E6B" w:rsidRPr="00A243B9">
        <w:t>,</w:t>
      </w:r>
      <w:r w:rsidR="001B2451" w:rsidRPr="00A243B9">
        <w:t>84</w:t>
      </w:r>
      <w:r w:rsidR="00CA7E6B" w:rsidRPr="00A243B9">
        <w:t>%, seguida pela "Integração administrativa das instituições presentes no sistema portuário - IAIPSP" com 11,</w:t>
      </w:r>
      <w:r w:rsidR="001B2451" w:rsidRPr="00A243B9">
        <w:t>14</w:t>
      </w:r>
      <w:r w:rsidR="00CA7E6B" w:rsidRPr="00A243B9">
        <w:t xml:space="preserve">%. </w:t>
      </w:r>
      <w:r w:rsidR="00D44978" w:rsidRPr="00A243B9">
        <w:t xml:space="preserve">Vale ressaltar que, tais critérios somam-se </w:t>
      </w:r>
      <w:r w:rsidR="001B2451" w:rsidRPr="00A243B9">
        <w:t>79,47% d</w:t>
      </w:r>
      <w:r w:rsidR="00D44978" w:rsidRPr="00A243B9">
        <w:t>os pesos atribuídos a todos os critérios considerados, estando relacionados, respectivamente, aos grupos de análise quanto à infraestrutura e à gestão.</w:t>
      </w:r>
    </w:p>
    <w:p w14:paraId="2E4ECD80" w14:textId="4596A82E" w:rsidR="00B33CAA" w:rsidRPr="00A243B9" w:rsidRDefault="00CA7E6B" w:rsidP="00BD3A13">
      <w:pPr>
        <w:spacing w:line="240" w:lineRule="auto"/>
        <w:ind w:leftChars="0" w:left="0" w:firstLineChars="0" w:firstLine="0"/>
        <w:jc w:val="both"/>
      </w:pPr>
      <w:r w:rsidRPr="00A243B9">
        <w:lastRenderedPageBreak/>
        <w:t>As percentagens mais baixas</w:t>
      </w:r>
      <w:r w:rsidR="00067662" w:rsidRPr="00A243B9">
        <w:t xml:space="preserve"> nas avaliações</w:t>
      </w:r>
      <w:r w:rsidRPr="00A243B9">
        <w:t xml:space="preserve">, como </w:t>
      </w:r>
      <w:r w:rsidR="001B2451" w:rsidRPr="00A243B9">
        <w:t xml:space="preserve">SDEJOI, </w:t>
      </w:r>
      <w:r w:rsidRPr="00A243B9">
        <w:t>NRODCN, NDEEPA e ODSMIPS, representa</w:t>
      </w:r>
      <w:r w:rsidR="00067662" w:rsidRPr="00A243B9">
        <w:t>m</w:t>
      </w:r>
      <w:r w:rsidRPr="00A243B9">
        <w:t xml:space="preserve"> </w:t>
      </w:r>
      <w:r w:rsidR="001B2451" w:rsidRPr="00A243B9">
        <w:t xml:space="preserve">9,30%, </w:t>
      </w:r>
      <w:r w:rsidRPr="00A243B9">
        <w:t>5,0</w:t>
      </w:r>
      <w:r w:rsidR="001B2451" w:rsidRPr="00A243B9">
        <w:t>9</w:t>
      </w:r>
      <w:r w:rsidRPr="00A243B9">
        <w:t>%, 3,</w:t>
      </w:r>
      <w:r w:rsidR="001B2451" w:rsidRPr="00A243B9">
        <w:t>42</w:t>
      </w:r>
      <w:r w:rsidRPr="00A243B9">
        <w:t>% e 2,7</w:t>
      </w:r>
      <w:r w:rsidR="001B2451" w:rsidRPr="00A243B9">
        <w:t>2</w:t>
      </w:r>
      <w:r w:rsidRPr="00A243B9">
        <w:t xml:space="preserve">%, respectivamente, </w:t>
      </w:r>
      <w:r w:rsidR="00067662" w:rsidRPr="00A243B9">
        <w:t xml:space="preserve">e </w:t>
      </w:r>
      <w:r w:rsidRPr="00A243B9">
        <w:t>indicam que esses critérios têm um impacto relativ</w:t>
      </w:r>
      <w:r w:rsidR="001B2451" w:rsidRPr="00A243B9">
        <w:t>amente</w:t>
      </w:r>
      <w:r w:rsidRPr="00A243B9">
        <w:t xml:space="preserve"> menor no desempenho portuário do Porto de Santana. </w:t>
      </w:r>
      <w:r w:rsidR="00681223" w:rsidRPr="00A243B9">
        <w:t>No entanto, a consideração desses fatores é relevante para uma abordagem mais aprofundada</w:t>
      </w:r>
      <w:r w:rsidR="00067662" w:rsidRPr="00A243B9">
        <w:t>,</w:t>
      </w:r>
      <w:r w:rsidR="00681223" w:rsidRPr="00A243B9">
        <w:t xml:space="preserve"> para compreender melhor as razões por trás de</w:t>
      </w:r>
      <w:r w:rsidR="00067662" w:rsidRPr="00A243B9">
        <w:t>ssas</w:t>
      </w:r>
      <w:r w:rsidR="00681223" w:rsidRPr="00A243B9">
        <w:t xml:space="preserve"> classificações e avaliar se configurações ou melhorias específicas po</w:t>
      </w:r>
      <w:r w:rsidR="00067662" w:rsidRPr="00A243B9">
        <w:t>dem</w:t>
      </w:r>
      <w:r w:rsidR="00681223" w:rsidRPr="00A243B9">
        <w:t xml:space="preserve"> ser implementadas. </w:t>
      </w:r>
    </w:p>
    <w:p w14:paraId="007D7B8C" w14:textId="77777777" w:rsidR="00B33CAA" w:rsidRPr="00A243B9" w:rsidRDefault="00B33CAA" w:rsidP="00BD3A13">
      <w:pPr>
        <w:spacing w:line="240" w:lineRule="auto"/>
        <w:ind w:leftChars="0" w:left="0" w:firstLineChars="0" w:firstLine="0"/>
        <w:jc w:val="both"/>
      </w:pPr>
    </w:p>
    <w:p w14:paraId="0B32CCF2" w14:textId="116AD09F" w:rsidR="00BD3A13" w:rsidRDefault="00067662" w:rsidP="00BD3A13">
      <w:pPr>
        <w:spacing w:line="240" w:lineRule="auto"/>
        <w:ind w:leftChars="0" w:left="0" w:firstLineChars="0" w:firstLine="0"/>
        <w:jc w:val="both"/>
      </w:pPr>
      <w:r w:rsidRPr="00A243B9">
        <w:t>Em termos de grupos de análise, a</w:t>
      </w:r>
      <w:r w:rsidR="00681223" w:rsidRPr="00A243B9">
        <w:t>s condições operacionais e de infraestrutura apresenta</w:t>
      </w:r>
      <w:r w:rsidRPr="00A243B9">
        <w:t>ra</w:t>
      </w:r>
      <w:r w:rsidR="00681223" w:rsidRPr="00A243B9">
        <w:t xml:space="preserve">m maior impacto na avaliação do desempenho </w:t>
      </w:r>
      <w:r w:rsidR="00681223" w:rsidRPr="00850094">
        <w:t>portuário no Porto de Santana</w:t>
      </w:r>
      <w:r w:rsidR="002A4682">
        <w:t xml:space="preserve">, seja pelo método AHP ou pelo </w:t>
      </w:r>
      <w:r w:rsidR="002A4682" w:rsidRPr="00221CE6">
        <w:rPr>
          <w:i/>
        </w:rPr>
        <w:t>software Superdecisions</w:t>
      </w:r>
      <w:r w:rsidR="002A4682">
        <w:rPr>
          <w:i/>
        </w:rPr>
        <w:t>.</w:t>
      </w:r>
      <w:r w:rsidR="00681223" w:rsidRPr="00850094">
        <w:t xml:space="preserve"> </w:t>
      </w:r>
      <w:r w:rsidRPr="00850094">
        <w:t>Subcritérios</w:t>
      </w:r>
      <w:r w:rsidRPr="00A243B9">
        <w:t xml:space="preserve"> </w:t>
      </w:r>
      <w:r w:rsidR="00681223" w:rsidRPr="00A243B9">
        <w:t xml:space="preserve">como tempos de atracação, entrega de carga e descarga assumem uma importância significativa, exigindo investimentos a longo prazo e a otimização de processos operacionais, o que impacta diretamente a satisfação dos </w:t>
      </w:r>
      <w:r w:rsidR="00681223" w:rsidRPr="00A243B9">
        <w:rPr>
          <w:i/>
        </w:rPr>
        <w:t>stakeholders</w:t>
      </w:r>
      <w:r w:rsidR="00681223" w:rsidRPr="00A243B9">
        <w:t xml:space="preserve"> e a competitividade </w:t>
      </w:r>
      <w:r w:rsidR="00850094">
        <w:t>do porto face aos portos concorrentes</w:t>
      </w:r>
      <w:r w:rsidR="00681223" w:rsidRPr="00A243B9">
        <w:t xml:space="preserve">. </w:t>
      </w:r>
      <w:r w:rsidRPr="00A243B9">
        <w:t>Pode-se perceber que as questões</w:t>
      </w:r>
      <w:r w:rsidR="00681223" w:rsidRPr="00A243B9">
        <w:t xml:space="preserve"> interinstitucionais e mercadológicas estão intrinsecamente ligadas a essas condições, exigindo cooperação entre entidades para garantir </w:t>
      </w:r>
      <w:r w:rsidRPr="00A243B9">
        <w:t xml:space="preserve">a inserção </w:t>
      </w:r>
      <w:r w:rsidR="00D44978" w:rsidRPr="00A243B9">
        <w:t xml:space="preserve">do </w:t>
      </w:r>
      <w:r w:rsidRPr="00A243B9">
        <w:t>porto</w:t>
      </w:r>
      <w:r w:rsidR="00681223" w:rsidRPr="00A243B9">
        <w:t xml:space="preserve"> </w:t>
      </w:r>
      <w:r w:rsidRPr="00A243B9">
        <w:t>na rede logística d</w:t>
      </w:r>
      <w:r w:rsidR="00681223" w:rsidRPr="00A243B9">
        <w:t xml:space="preserve">o projeto Arco Norte. </w:t>
      </w:r>
    </w:p>
    <w:p w14:paraId="426F1995" w14:textId="77777777" w:rsidR="00BD3A13" w:rsidRDefault="00BD3A13" w:rsidP="00BD3A13">
      <w:pPr>
        <w:spacing w:line="240" w:lineRule="auto"/>
        <w:ind w:leftChars="0" w:left="0" w:firstLineChars="0" w:firstLine="0"/>
        <w:jc w:val="both"/>
      </w:pPr>
    </w:p>
    <w:p w14:paraId="44DA2AA5" w14:textId="181C4F50" w:rsidR="00BA2101" w:rsidRPr="00A243B9" w:rsidRDefault="002A4682" w:rsidP="00BD3A13">
      <w:pPr>
        <w:spacing w:line="240" w:lineRule="auto"/>
        <w:ind w:leftChars="0" w:left="0" w:firstLineChars="0" w:firstLine="0"/>
        <w:jc w:val="both"/>
      </w:pPr>
      <w:r>
        <w:t xml:space="preserve">Analisando os resultados da </w:t>
      </w:r>
      <w:r w:rsidR="00BA2101" w:rsidRPr="00BD3A13">
        <w:t xml:space="preserve">análise multicritério </w:t>
      </w:r>
      <w:r w:rsidR="00850094" w:rsidRPr="00BD3A13">
        <w:t>pelo método AHP</w:t>
      </w:r>
      <w:r>
        <w:t xml:space="preserve">, validados pelos dados do </w:t>
      </w:r>
      <w:r w:rsidRPr="00221CE6">
        <w:rPr>
          <w:i/>
        </w:rPr>
        <w:t>software Superdecisions</w:t>
      </w:r>
      <w:r>
        <w:rPr>
          <w:i/>
        </w:rPr>
        <w:t>,</w:t>
      </w:r>
      <w:r>
        <w:t xml:space="preserve"> associados às informações obtidas nas </w:t>
      </w:r>
      <w:r w:rsidR="00BA2101" w:rsidRPr="00BD3A13">
        <w:t xml:space="preserve">discussões </w:t>
      </w:r>
      <w:r w:rsidR="00575E93" w:rsidRPr="00BD3A13">
        <w:t>prévias</w:t>
      </w:r>
      <w:r w:rsidR="00BA2101" w:rsidRPr="00BD3A13">
        <w:t xml:space="preserve"> </w:t>
      </w:r>
      <w:r>
        <w:t xml:space="preserve">junto aos </w:t>
      </w:r>
      <w:r w:rsidRPr="00221CE6">
        <w:rPr>
          <w:i/>
        </w:rPr>
        <w:t>stakeholders</w:t>
      </w:r>
      <w:r w:rsidR="00BA2101" w:rsidRPr="00BD3A13">
        <w:t>,</w:t>
      </w:r>
      <w:r w:rsidR="00116AD7" w:rsidRPr="00BD3A13">
        <w:t xml:space="preserve"> </w:t>
      </w:r>
      <w:r>
        <w:t xml:space="preserve">permitiram relacionar os seguintes </w:t>
      </w:r>
      <w:r w:rsidR="00BA2101" w:rsidRPr="00A243B9">
        <w:t xml:space="preserve">investimentos </w:t>
      </w:r>
      <w:r w:rsidR="00204BB5" w:rsidRPr="00F22758">
        <w:t xml:space="preserve">necessários para </w:t>
      </w:r>
      <w:r w:rsidR="0091545A">
        <w:t xml:space="preserve">inserção </w:t>
      </w:r>
      <w:r w:rsidR="00204BB5" w:rsidRPr="00F22758">
        <w:t>des</w:t>
      </w:r>
      <w:r w:rsidR="0091545A">
        <w:t>t</w:t>
      </w:r>
      <w:r w:rsidR="00204BB5" w:rsidRPr="00F22758">
        <w:t xml:space="preserve">e porto no contexto </w:t>
      </w:r>
      <w:r w:rsidR="0091545A">
        <w:t>do projeto Arco Norte, na perspectiva d</w:t>
      </w:r>
      <w:r w:rsidR="00BA2101" w:rsidRPr="00A243B9">
        <w:t>os</w:t>
      </w:r>
      <w:r w:rsidR="0091545A">
        <w:t xml:space="preserve"> principais</w:t>
      </w:r>
      <w:r w:rsidR="00BA2101" w:rsidRPr="00A243B9">
        <w:t xml:space="preserve"> critérios </w:t>
      </w:r>
      <w:r w:rsidR="0091545A">
        <w:t xml:space="preserve">em </w:t>
      </w:r>
      <w:r w:rsidR="00BA2101" w:rsidRPr="00A243B9">
        <w:t>importância</w:t>
      </w:r>
      <w:r w:rsidR="00221CE6">
        <w:t xml:space="preserve">, estando relacionados a infraestrutura e a gestão: </w:t>
      </w:r>
    </w:p>
    <w:p w14:paraId="54E307E1" w14:textId="77777777" w:rsidR="00DA5B8D" w:rsidRDefault="00DA5B8D" w:rsidP="00DA5B8D">
      <w:pPr>
        <w:pStyle w:val="PargrafodaLista"/>
        <w:spacing w:after="0" w:line="240" w:lineRule="auto"/>
        <w:ind w:left="0"/>
        <w:jc w:val="both"/>
        <w:rPr>
          <w:sz w:val="24"/>
          <w:szCs w:val="24"/>
          <w:lang w:val="pt-BR"/>
        </w:rPr>
      </w:pPr>
    </w:p>
    <w:p w14:paraId="5F2ACD4F" w14:textId="75DDB12D" w:rsidR="00BA2101" w:rsidRPr="00956810" w:rsidRDefault="00BA2101" w:rsidP="00221CE6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>Critério NACPEL - N</w:t>
      </w:r>
      <w:r w:rsidR="000D38F2" w:rsidRPr="00956810">
        <w:rPr>
          <w:sz w:val="24"/>
          <w:szCs w:val="24"/>
          <w:lang w:val="pt-BR"/>
        </w:rPr>
        <w:t xml:space="preserve">ecessidade de </w:t>
      </w:r>
      <w:r w:rsidRPr="00956810">
        <w:rPr>
          <w:sz w:val="24"/>
          <w:szCs w:val="24"/>
          <w:lang w:val="pt-BR"/>
        </w:rPr>
        <w:t>A</w:t>
      </w:r>
      <w:r w:rsidR="000D38F2" w:rsidRPr="00956810">
        <w:rPr>
          <w:sz w:val="24"/>
          <w:szCs w:val="24"/>
          <w:lang w:val="pt-BR"/>
        </w:rPr>
        <w:t xml:space="preserve">mpliação do </w:t>
      </w:r>
      <w:r w:rsidRPr="00956810">
        <w:rPr>
          <w:sz w:val="24"/>
          <w:szCs w:val="24"/>
          <w:lang w:val="pt-BR"/>
        </w:rPr>
        <w:t>C</w:t>
      </w:r>
      <w:r w:rsidR="000D38F2" w:rsidRPr="00956810">
        <w:rPr>
          <w:sz w:val="24"/>
          <w:szCs w:val="24"/>
          <w:lang w:val="pt-BR"/>
        </w:rPr>
        <w:t xml:space="preserve">ais do </w:t>
      </w:r>
      <w:r w:rsidRPr="00956810">
        <w:rPr>
          <w:sz w:val="24"/>
          <w:szCs w:val="24"/>
          <w:lang w:val="pt-BR"/>
        </w:rPr>
        <w:t>P</w:t>
      </w:r>
      <w:r w:rsidR="000D38F2" w:rsidRPr="00956810">
        <w:rPr>
          <w:sz w:val="24"/>
          <w:szCs w:val="24"/>
          <w:lang w:val="pt-BR"/>
        </w:rPr>
        <w:t>orto</w:t>
      </w:r>
      <w:r w:rsidR="00575E93" w:rsidRPr="00956810">
        <w:rPr>
          <w:sz w:val="24"/>
          <w:szCs w:val="24"/>
          <w:lang w:val="pt-BR"/>
        </w:rPr>
        <w:t xml:space="preserve"> para Embarcações de Longo curso</w:t>
      </w:r>
      <w:r w:rsidRPr="00956810">
        <w:rPr>
          <w:sz w:val="24"/>
          <w:szCs w:val="24"/>
          <w:lang w:val="pt-BR"/>
        </w:rPr>
        <w:t>:</w:t>
      </w:r>
    </w:p>
    <w:p w14:paraId="6C370B27" w14:textId="401BDA23" w:rsidR="000D38F2" w:rsidRPr="00850094" w:rsidRDefault="000D38F2" w:rsidP="00221CE6">
      <w:pPr>
        <w:pStyle w:val="PargrafodaLista"/>
        <w:numPr>
          <w:ilvl w:val="0"/>
          <w:numId w:val="25"/>
        </w:numPr>
        <w:spacing w:after="0"/>
        <w:jc w:val="both"/>
        <w:rPr>
          <w:sz w:val="24"/>
          <w:szCs w:val="24"/>
          <w:lang w:val="pt-BR"/>
        </w:rPr>
      </w:pPr>
      <w:r w:rsidRPr="00850094">
        <w:rPr>
          <w:sz w:val="24"/>
          <w:szCs w:val="24"/>
          <w:lang w:val="pt-BR"/>
        </w:rPr>
        <w:t>Expansão da infraestrutura física: expansão do cais atual, aumentando sua extensão ou construindo cais adicionais, para acomodar um maior número de embarcações de longo curso de forma simultânea</w:t>
      </w:r>
      <w:r w:rsidR="00FD6A78" w:rsidRPr="00850094">
        <w:rPr>
          <w:sz w:val="24"/>
          <w:szCs w:val="24"/>
          <w:lang w:val="pt-BR"/>
        </w:rPr>
        <w:t>, envolvendo</w:t>
      </w:r>
      <w:r w:rsidRPr="00850094">
        <w:rPr>
          <w:sz w:val="24"/>
          <w:szCs w:val="24"/>
          <w:lang w:val="pt-BR"/>
        </w:rPr>
        <w:t xml:space="preserve"> a construção de novos berços ou a extensão dos existentes, bem como a melhoria das condições de atracação para garantir a segurança e eficiência das operações portuárias.</w:t>
      </w:r>
    </w:p>
    <w:p w14:paraId="21A57AF8" w14:textId="2449177E" w:rsidR="000D38F2" w:rsidRPr="00956810" w:rsidRDefault="000D38F2" w:rsidP="00221CE6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>Aquisição de equipamentos especializados: equipamentos portuários especializados, como guindastes de grande porte e sistemas de amarração avançados, para facilitar as operações de carga e descarga de embarcações de longo curso. Esses equipamentos pode</w:t>
      </w:r>
      <w:r w:rsidR="00BA2101" w:rsidRPr="00956810">
        <w:rPr>
          <w:sz w:val="24"/>
          <w:szCs w:val="24"/>
          <w:lang w:val="pt-BR"/>
        </w:rPr>
        <w:t>ria</w:t>
      </w:r>
      <w:r w:rsidRPr="00956810">
        <w:rPr>
          <w:sz w:val="24"/>
          <w:szCs w:val="24"/>
          <w:lang w:val="pt-BR"/>
        </w:rPr>
        <w:t xml:space="preserve">m aumentar a capacidade e </w:t>
      </w:r>
      <w:r w:rsidR="00517EE0" w:rsidRPr="00956810">
        <w:rPr>
          <w:sz w:val="24"/>
          <w:szCs w:val="24"/>
          <w:lang w:val="pt-BR"/>
        </w:rPr>
        <w:t xml:space="preserve">a </w:t>
      </w:r>
      <w:r w:rsidRPr="00956810">
        <w:rPr>
          <w:sz w:val="24"/>
          <w:szCs w:val="24"/>
          <w:lang w:val="pt-BR"/>
        </w:rPr>
        <w:t xml:space="preserve">eficiência do </w:t>
      </w:r>
      <w:r w:rsidR="00D44978" w:rsidRPr="00956810">
        <w:rPr>
          <w:sz w:val="24"/>
          <w:szCs w:val="24"/>
          <w:lang w:val="pt-BR"/>
        </w:rPr>
        <w:t>p</w:t>
      </w:r>
      <w:r w:rsidRPr="00956810">
        <w:rPr>
          <w:sz w:val="24"/>
          <w:szCs w:val="24"/>
          <w:lang w:val="pt-BR"/>
        </w:rPr>
        <w:t>orto, reduzindo os tempos de espera e melhorando o fluxo de mercadorias.</w:t>
      </w:r>
    </w:p>
    <w:p w14:paraId="2D1D5C05" w14:textId="231710D8" w:rsidR="000D38F2" w:rsidRPr="00956810" w:rsidRDefault="000D38F2" w:rsidP="00221CE6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 xml:space="preserve">Melhoria da conectividade terrestre e logística: investir na melhoria da infraestrutura de acesso terrestre ao porto, incluindo rodovias, ferrovias e sistemas de transporte multimodal, para facilitar o transporte de mercadorias </w:t>
      </w:r>
      <w:r w:rsidR="00BA2101" w:rsidRPr="00956810">
        <w:rPr>
          <w:sz w:val="24"/>
          <w:szCs w:val="24"/>
          <w:lang w:val="pt-BR"/>
        </w:rPr>
        <w:t>no</w:t>
      </w:r>
      <w:r w:rsidRPr="00956810">
        <w:rPr>
          <w:sz w:val="24"/>
          <w:szCs w:val="24"/>
          <w:lang w:val="pt-BR"/>
        </w:rPr>
        <w:t xml:space="preserve"> porto. Isso pode</w:t>
      </w:r>
      <w:r w:rsidR="00BA2101" w:rsidRPr="00956810">
        <w:rPr>
          <w:sz w:val="24"/>
          <w:szCs w:val="24"/>
          <w:lang w:val="pt-BR"/>
        </w:rPr>
        <w:t>ria</w:t>
      </w:r>
      <w:r w:rsidRPr="00956810">
        <w:rPr>
          <w:sz w:val="24"/>
          <w:szCs w:val="24"/>
          <w:lang w:val="pt-BR"/>
        </w:rPr>
        <w:t xml:space="preserve"> envolver a construção de novas vias de acesso, a modernização de infraestruturas existentes e a implementação de sistemas de gerenciamento de tráfego para reduzir congestionamentos e tempos de viagem.</w:t>
      </w:r>
    </w:p>
    <w:p w14:paraId="7BE604CB" w14:textId="77777777" w:rsidR="00BA2101" w:rsidRPr="00956810" w:rsidRDefault="00BA2101" w:rsidP="00BD3A13">
      <w:pPr>
        <w:spacing w:line="240" w:lineRule="auto"/>
        <w:ind w:leftChars="0" w:left="0" w:firstLineChars="0" w:firstLine="0"/>
        <w:jc w:val="both"/>
        <w:rPr>
          <w:lang w:eastAsia="en-US"/>
        </w:rPr>
      </w:pPr>
    </w:p>
    <w:p w14:paraId="55DFE398" w14:textId="08ACC19B" w:rsidR="00BA2101" w:rsidRPr="00956810" w:rsidRDefault="00BA2101" w:rsidP="00221CE6">
      <w:pPr>
        <w:pStyle w:val="PargrafodaLista"/>
        <w:numPr>
          <w:ilvl w:val="0"/>
          <w:numId w:val="24"/>
        </w:numPr>
        <w:spacing w:after="0"/>
        <w:ind w:left="426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>Critério MATNE - Melhoria nos Acessos atuais por Terra e a abertura de acessos às Novas áreas de Expansão:</w:t>
      </w:r>
    </w:p>
    <w:p w14:paraId="37D36DD0" w14:textId="2743D9BA" w:rsidR="00CC3798" w:rsidRDefault="000D38F2" w:rsidP="00221CE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221CE6">
        <w:rPr>
          <w:sz w:val="24"/>
          <w:szCs w:val="24"/>
          <w:lang w:val="pt-BR"/>
        </w:rPr>
        <w:t>Expansão e modernização da infraestrutura rodoviária e ferroviária: expansão e modernização das estradas e ferrovias que conectam o porto às principais áreas produtoras e consumidoras, garantindo uma rede de transporte terrestre eficiente e segura.</w:t>
      </w:r>
    </w:p>
    <w:p w14:paraId="2D2DF841" w14:textId="7BC10B17" w:rsidR="000D38F2" w:rsidRPr="00221CE6" w:rsidRDefault="000D38F2" w:rsidP="00221CE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221CE6">
        <w:rPr>
          <w:sz w:val="24"/>
          <w:szCs w:val="24"/>
          <w:lang w:val="pt-BR"/>
        </w:rPr>
        <w:lastRenderedPageBreak/>
        <w:t>Construção de acessos viários específicos para o porto: construção de acessos viários diretos para o porto, incluindo vias expressas, pontes e túneis, para facilitar o fluxo de veículos e reduzir os tempos de viagem para os transportadores e usuários do porto.</w:t>
      </w:r>
    </w:p>
    <w:p w14:paraId="5799A14A" w14:textId="77777777" w:rsidR="000D38F2" w:rsidRPr="00956810" w:rsidRDefault="000D38F2" w:rsidP="00221CE6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>Desenvolvimento de terminais intermodais: criação de terminais intermodais que integrem diferentes modos de transporte, como ferrovias, rodovias e vias navegáveis, permitindo uma transferência eficiente de carga entre os diferentes meios de transporte e reduzindo os custos logísticos.</w:t>
      </w:r>
    </w:p>
    <w:p w14:paraId="488E59DE" w14:textId="77777777" w:rsidR="00BA2101" w:rsidRPr="00956810" w:rsidRDefault="00BA2101" w:rsidP="00BD3A13">
      <w:pPr>
        <w:spacing w:line="240" w:lineRule="auto"/>
        <w:ind w:leftChars="0" w:left="0" w:firstLineChars="0" w:firstLine="0"/>
        <w:jc w:val="both"/>
        <w:rPr>
          <w:lang w:eastAsia="en-US"/>
        </w:rPr>
      </w:pPr>
    </w:p>
    <w:p w14:paraId="079DE3B4" w14:textId="3427CAB8" w:rsidR="00BA2101" w:rsidRPr="00956810" w:rsidRDefault="00BA2101" w:rsidP="00221CE6">
      <w:pPr>
        <w:pStyle w:val="PargrafodaLista"/>
        <w:numPr>
          <w:ilvl w:val="0"/>
          <w:numId w:val="24"/>
        </w:numPr>
        <w:spacing w:after="0" w:line="240" w:lineRule="auto"/>
        <w:ind w:left="426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 xml:space="preserve">Critério </w:t>
      </w:r>
      <w:r w:rsidR="00575E93" w:rsidRPr="00956810">
        <w:rPr>
          <w:sz w:val="24"/>
          <w:szCs w:val="24"/>
          <w:lang w:val="pt-BR"/>
        </w:rPr>
        <w:t>IAIPSP</w:t>
      </w:r>
      <w:r w:rsidRPr="00956810">
        <w:rPr>
          <w:sz w:val="24"/>
          <w:szCs w:val="24"/>
          <w:lang w:val="pt-BR"/>
        </w:rPr>
        <w:t xml:space="preserve"> - </w:t>
      </w:r>
      <w:r w:rsidR="00575E93" w:rsidRPr="00956810">
        <w:rPr>
          <w:sz w:val="24"/>
          <w:szCs w:val="24"/>
          <w:lang w:val="pt-BR"/>
        </w:rPr>
        <w:t>Integração Administrativa das Instituições Presentes no Sistema Portuário</w:t>
      </w:r>
      <w:r w:rsidRPr="00956810">
        <w:rPr>
          <w:sz w:val="24"/>
          <w:szCs w:val="24"/>
          <w:lang w:val="pt-BR"/>
        </w:rPr>
        <w:t>:</w:t>
      </w:r>
    </w:p>
    <w:p w14:paraId="51558D61" w14:textId="6A21B12D" w:rsidR="000D38F2" w:rsidRPr="00850094" w:rsidRDefault="000D38F2" w:rsidP="00221CE6">
      <w:pPr>
        <w:pStyle w:val="PargrafodaLista"/>
        <w:numPr>
          <w:ilvl w:val="0"/>
          <w:numId w:val="27"/>
        </w:numPr>
        <w:spacing w:after="0"/>
        <w:jc w:val="both"/>
        <w:rPr>
          <w:sz w:val="24"/>
          <w:szCs w:val="24"/>
          <w:lang w:val="pt-BR"/>
        </w:rPr>
      </w:pPr>
      <w:r w:rsidRPr="00850094">
        <w:rPr>
          <w:sz w:val="24"/>
          <w:szCs w:val="24"/>
          <w:lang w:val="pt-BR"/>
        </w:rPr>
        <w:t>Implementação de sistemas de gestão integrada:</w:t>
      </w:r>
      <w:r w:rsidR="00621E17" w:rsidRPr="00850094">
        <w:rPr>
          <w:sz w:val="24"/>
          <w:szCs w:val="24"/>
          <w:lang w:val="pt-BR"/>
        </w:rPr>
        <w:t xml:space="preserve"> </w:t>
      </w:r>
      <w:r w:rsidRPr="00850094">
        <w:rPr>
          <w:sz w:val="24"/>
          <w:szCs w:val="24"/>
          <w:lang w:val="pt-BR"/>
        </w:rPr>
        <w:t>implementação de sistemas de gestão integrada que permitam uma coordenação eficaz entre todas as instituições envolvidas no sistema portuário. Isso inclui sistemas de tecnologia da informação que facilitam a troca de dados e informações entre as diferentes entidades, garantindo uma comunicação eficiente e uma tomada de decisão mais ágil.</w:t>
      </w:r>
    </w:p>
    <w:p w14:paraId="5A1DB374" w14:textId="3FBECE45" w:rsidR="000D38F2" w:rsidRPr="00956810" w:rsidRDefault="000D38F2" w:rsidP="00221CE6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>Desenvolvimento de mecanismos de governança colaborativa</w:t>
      </w:r>
      <w:r w:rsidR="00621E17" w:rsidRPr="00956810">
        <w:rPr>
          <w:sz w:val="24"/>
          <w:szCs w:val="24"/>
          <w:lang w:val="pt-BR"/>
        </w:rPr>
        <w:t xml:space="preserve">: </w:t>
      </w:r>
      <w:r w:rsidRPr="00956810">
        <w:rPr>
          <w:sz w:val="24"/>
          <w:szCs w:val="24"/>
          <w:lang w:val="pt-BR"/>
        </w:rPr>
        <w:t>criação de mecanismos de governança colaborativa que promovam a cooperação e o trabalho em equipe entre as instituições portuárias, incluindo a formação de comitês de coordenação, grupos de trabalho e fóruns de discussão. Esses mecanismos podem facilitar a resolução de conflitos, a definição de metas comuns e implementação de estratégias conjuntas para melhorar o desempenho do porto.</w:t>
      </w:r>
    </w:p>
    <w:p w14:paraId="4D961C7A" w14:textId="1926EF74" w:rsidR="001C6973" w:rsidRDefault="000D38F2" w:rsidP="00221CE6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956810">
        <w:rPr>
          <w:sz w:val="24"/>
          <w:szCs w:val="24"/>
          <w:lang w:val="pt-BR"/>
        </w:rPr>
        <w:t>Capacitação e treinamento de pessoal:</w:t>
      </w:r>
      <w:r w:rsidR="00621E17" w:rsidRPr="00956810">
        <w:rPr>
          <w:sz w:val="24"/>
          <w:szCs w:val="24"/>
          <w:lang w:val="pt-BR"/>
        </w:rPr>
        <w:t xml:space="preserve"> </w:t>
      </w:r>
      <w:r w:rsidRPr="00956810">
        <w:rPr>
          <w:sz w:val="24"/>
          <w:szCs w:val="24"/>
          <w:lang w:val="pt-BR"/>
        </w:rPr>
        <w:t>capacitação e treinamento do pessoal das instituições portuárias, fornecendo conhecimentos e habilidades necessárias para uma gestão integrada e eficiente do sistema portuário</w:t>
      </w:r>
      <w:r w:rsidR="00FD6A78" w:rsidRPr="00956810">
        <w:rPr>
          <w:sz w:val="24"/>
          <w:szCs w:val="24"/>
          <w:lang w:val="pt-BR"/>
        </w:rPr>
        <w:t>, incluindo</w:t>
      </w:r>
      <w:r w:rsidRPr="00956810">
        <w:rPr>
          <w:sz w:val="24"/>
          <w:szCs w:val="24"/>
          <w:lang w:val="pt-BR"/>
        </w:rPr>
        <w:t xml:space="preserve"> programas de capacitação em gestão de projetos, liderança, comunicação interpessoal e resolução de problemas, entre outros temas relevantes para a integração administrativa.</w:t>
      </w:r>
    </w:p>
    <w:p w14:paraId="6DE3BFE9" w14:textId="3CAFBFEE" w:rsidR="00433ED4" w:rsidRPr="001C6973" w:rsidRDefault="00433ED4" w:rsidP="00BD3A13">
      <w:pPr>
        <w:spacing w:line="240" w:lineRule="auto"/>
        <w:ind w:leftChars="0" w:left="0" w:firstLineChars="0" w:firstLine="0"/>
        <w:jc w:val="both"/>
        <w:rPr>
          <w:lang w:eastAsia="en-US"/>
        </w:rPr>
      </w:pPr>
    </w:p>
    <w:p w14:paraId="08F6F1E9" w14:textId="49C08B39" w:rsidR="002363F8" w:rsidRPr="00A243B9" w:rsidRDefault="00BD3A13" w:rsidP="00BD3A13">
      <w:pPr>
        <w:keepNext/>
        <w:keepLines/>
        <w:spacing w:line="240" w:lineRule="auto"/>
        <w:ind w:leftChars="0" w:left="0" w:firstLineChars="0" w:firstLine="0"/>
        <w:jc w:val="both"/>
      </w:pPr>
      <w:r>
        <w:rPr>
          <w:b/>
        </w:rPr>
        <w:t>5</w:t>
      </w:r>
      <w:r w:rsidRPr="00BD3A13">
        <w:rPr>
          <w:b/>
        </w:rPr>
        <w:t xml:space="preserve"> CONCLUSÕES</w:t>
      </w:r>
    </w:p>
    <w:p w14:paraId="0F8A4481" w14:textId="77777777" w:rsidR="00204BB5" w:rsidRPr="00A243B9" w:rsidRDefault="00204BB5" w:rsidP="00BD3A13">
      <w:pPr>
        <w:spacing w:line="240" w:lineRule="auto"/>
        <w:ind w:leftChars="0" w:left="0" w:firstLineChars="0" w:firstLine="0"/>
        <w:jc w:val="both"/>
      </w:pPr>
    </w:p>
    <w:p w14:paraId="083C9E62" w14:textId="77777777" w:rsidR="00C617DB" w:rsidRPr="00911DF7" w:rsidRDefault="00204BB5" w:rsidP="00BD3A13">
      <w:pPr>
        <w:spacing w:line="240" w:lineRule="auto"/>
        <w:ind w:leftChars="0" w:left="0" w:firstLineChars="0" w:firstLine="0"/>
        <w:jc w:val="both"/>
      </w:pPr>
      <w:r w:rsidRPr="00647BA0">
        <w:t>No que se refere aos principais critérios portuários que influenciam no desempenho do Porto de Santana no contexto da rede portuária, o</w:t>
      </w:r>
      <w:r w:rsidR="00575E93" w:rsidRPr="00647BA0">
        <w:t xml:space="preserve">s resultados da avaliação multicritério pelo </w:t>
      </w:r>
      <w:r w:rsidR="00681223" w:rsidRPr="00647BA0">
        <w:t>método AHP</w:t>
      </w:r>
      <w:r w:rsidR="00EA14F8" w:rsidRPr="00647BA0">
        <w:t xml:space="preserve"> com o suporte do </w:t>
      </w:r>
      <w:r w:rsidR="00EA14F8" w:rsidRPr="00647BA0">
        <w:rPr>
          <w:i/>
        </w:rPr>
        <w:t>software Superdecisions</w:t>
      </w:r>
      <w:r w:rsidR="00575E93" w:rsidRPr="00647BA0">
        <w:t xml:space="preserve"> mostraram uma classificação consistente de </w:t>
      </w:r>
      <w:r w:rsidR="00575E93" w:rsidRPr="00911DF7">
        <w:t xml:space="preserve">critérios </w:t>
      </w:r>
      <w:r w:rsidR="00681223" w:rsidRPr="00911DF7">
        <w:t xml:space="preserve">pré-selecionados </w:t>
      </w:r>
      <w:r w:rsidR="00575E93" w:rsidRPr="00911DF7">
        <w:t>e</w:t>
      </w:r>
      <w:r w:rsidR="00EA14F8" w:rsidRPr="00911DF7">
        <w:t>,</w:t>
      </w:r>
      <w:r w:rsidR="00575E93" w:rsidRPr="00911DF7">
        <w:t xml:space="preserve"> sob diversos aspectos</w:t>
      </w:r>
      <w:r w:rsidR="00681223" w:rsidRPr="00911DF7">
        <w:t xml:space="preserve"> uma visão abrangente do cenário portuário.</w:t>
      </w:r>
    </w:p>
    <w:p w14:paraId="1E0A006A" w14:textId="06C7AD26" w:rsidR="00C617DB" w:rsidRPr="00911DF7" w:rsidRDefault="00C617DB" w:rsidP="00BD3A13">
      <w:pPr>
        <w:spacing w:line="240" w:lineRule="auto"/>
        <w:ind w:leftChars="0" w:left="0" w:firstLineChars="0" w:firstLine="0"/>
        <w:jc w:val="both"/>
      </w:pPr>
      <w:r w:rsidRPr="00911DF7">
        <w:t xml:space="preserve">A combinação do </w:t>
      </w:r>
      <w:r w:rsidRPr="00911DF7">
        <w:rPr>
          <w:i/>
        </w:rPr>
        <w:t>software Super</w:t>
      </w:r>
      <w:r w:rsidR="00911DF7" w:rsidRPr="00911DF7">
        <w:rPr>
          <w:i/>
        </w:rPr>
        <w:t>d</w:t>
      </w:r>
      <w:r w:rsidRPr="00911DF7">
        <w:rPr>
          <w:i/>
        </w:rPr>
        <w:t>ecisions</w:t>
      </w:r>
      <w:r w:rsidRPr="00911DF7">
        <w:t xml:space="preserve"> com o método AHP</w:t>
      </w:r>
      <w:r w:rsidR="00221CE6" w:rsidRPr="00911DF7">
        <w:t xml:space="preserve"> </w:t>
      </w:r>
      <w:r w:rsidR="00911DF7" w:rsidRPr="00911DF7">
        <w:t xml:space="preserve">atingiu resultados compatíveis e </w:t>
      </w:r>
      <w:r w:rsidR="00221CE6" w:rsidRPr="00911DF7">
        <w:t>permitiu</w:t>
      </w:r>
      <w:r w:rsidRPr="00911DF7">
        <w:t xml:space="preserve"> identificar e priorizar os critérios mais importantes</w:t>
      </w:r>
      <w:r w:rsidR="00911DF7" w:rsidRPr="00911DF7">
        <w:t>, direcionadores de investimentos</w:t>
      </w:r>
      <w:r w:rsidRPr="00911DF7">
        <w:t xml:space="preserve"> para </w:t>
      </w:r>
      <w:r w:rsidR="00911DF7" w:rsidRPr="00911DF7">
        <w:t>viabilizar o porto do Santana no projeto A</w:t>
      </w:r>
      <w:r w:rsidRPr="00911DF7">
        <w:t>rco Norte</w:t>
      </w:r>
      <w:r w:rsidR="00911DF7" w:rsidRPr="00911DF7">
        <w:t>.</w:t>
      </w:r>
      <w:r w:rsidRPr="00911DF7">
        <w:t xml:space="preserve"> </w:t>
      </w:r>
    </w:p>
    <w:p w14:paraId="1683844A" w14:textId="77777777" w:rsidR="00911DF7" w:rsidRPr="00911DF7" w:rsidRDefault="00911DF7" w:rsidP="00BD3A13">
      <w:pPr>
        <w:spacing w:line="240" w:lineRule="auto"/>
        <w:ind w:leftChars="0" w:left="0" w:firstLineChars="0" w:firstLine="0"/>
        <w:jc w:val="both"/>
      </w:pPr>
    </w:p>
    <w:p w14:paraId="1A6027CC" w14:textId="0109F982" w:rsidR="00EF0E7C" w:rsidRDefault="00EF0E7C" w:rsidP="00BD3A13">
      <w:pPr>
        <w:spacing w:line="240" w:lineRule="auto"/>
        <w:ind w:leftChars="0" w:left="0" w:firstLineChars="0" w:firstLine="0"/>
        <w:jc w:val="both"/>
      </w:pPr>
      <w:r w:rsidRPr="00911DF7">
        <w:t xml:space="preserve">Dos sete critérios </w:t>
      </w:r>
      <w:r w:rsidR="00996C41" w:rsidRPr="00911DF7">
        <w:t xml:space="preserve">analisados, NACPEL - necessidade de </w:t>
      </w:r>
      <w:r w:rsidR="005171CD" w:rsidRPr="00911DF7">
        <w:t>a</w:t>
      </w:r>
      <w:r w:rsidR="00996C41" w:rsidRPr="00911DF7">
        <w:t xml:space="preserve">mpliação do </w:t>
      </w:r>
      <w:r w:rsidR="005171CD" w:rsidRPr="00911DF7">
        <w:t>c</w:t>
      </w:r>
      <w:r w:rsidR="00996C41" w:rsidRPr="00911DF7">
        <w:t xml:space="preserve">ais do </w:t>
      </w:r>
      <w:r w:rsidR="005171CD" w:rsidRPr="00911DF7">
        <w:t>p</w:t>
      </w:r>
      <w:r w:rsidR="00996C41" w:rsidRPr="00911DF7">
        <w:t xml:space="preserve">orto para </w:t>
      </w:r>
      <w:r w:rsidR="005171CD" w:rsidRPr="00911DF7">
        <w:t>e</w:t>
      </w:r>
      <w:r w:rsidR="00996C41" w:rsidRPr="00911DF7">
        <w:t xml:space="preserve">mbarcações de </w:t>
      </w:r>
      <w:r w:rsidR="005171CD" w:rsidRPr="00911DF7">
        <w:t>l</w:t>
      </w:r>
      <w:r w:rsidR="00996C41" w:rsidRPr="00911DF7">
        <w:t>ongo</w:t>
      </w:r>
      <w:r w:rsidR="004B15F1" w:rsidRPr="00911DF7">
        <w:t xml:space="preserve"> e MATNE - melhoria nos acessos atuais por terra e a abertura de acessos às novas áreas de expansão</w:t>
      </w:r>
      <w:r w:rsidR="00996C41" w:rsidRPr="00911DF7">
        <w:t xml:space="preserve"> </w:t>
      </w:r>
      <w:r w:rsidR="004B15F1" w:rsidRPr="00911DF7">
        <w:t>tiveram maior destaque</w:t>
      </w:r>
      <w:r w:rsidR="004B15F1" w:rsidRPr="00647BA0">
        <w:t xml:space="preserve"> entre as percepções analisadas, evidenciando a necessidade </w:t>
      </w:r>
      <w:r w:rsidRPr="00647BA0">
        <w:t>de</w:t>
      </w:r>
      <w:r w:rsidR="004B15F1" w:rsidRPr="00647BA0">
        <w:t xml:space="preserve"> novos investimentos</w:t>
      </w:r>
      <w:r w:rsidRPr="00647BA0">
        <w:t xml:space="preserve"> </w:t>
      </w:r>
      <w:r w:rsidR="004B15F1" w:rsidRPr="00647BA0">
        <w:t>para infraestrutura</w:t>
      </w:r>
      <w:r w:rsidR="00911DF7">
        <w:t xml:space="preserve"> e gestão</w:t>
      </w:r>
      <w:r w:rsidR="004B15F1" w:rsidRPr="00647BA0">
        <w:t xml:space="preserve">. </w:t>
      </w:r>
      <w:r w:rsidRPr="00647BA0">
        <w:t>Os investimentos dados como os mais importantes são: expansão da infraestrutura física</w:t>
      </w:r>
      <w:r w:rsidR="00647BA0" w:rsidRPr="00647BA0">
        <w:t xml:space="preserve"> portuária, como a construção de acessos viários específicos para o porto, melhorando a conectividade terrestre, tanto rodoviária quanto ferroviária. Além disso, a </w:t>
      </w:r>
      <w:r w:rsidRPr="00647BA0">
        <w:t xml:space="preserve">aquisição de equipamentos </w:t>
      </w:r>
      <w:r w:rsidR="00647BA0" w:rsidRPr="00647BA0">
        <w:t>de movimentação de carga e a implantação de terminais intermodais.</w:t>
      </w:r>
    </w:p>
    <w:p w14:paraId="6822861F" w14:textId="77777777" w:rsidR="00C7449A" w:rsidRPr="00A243B9" w:rsidRDefault="00C7449A" w:rsidP="00BD3A13">
      <w:pPr>
        <w:spacing w:line="240" w:lineRule="auto"/>
        <w:ind w:leftChars="0" w:left="0" w:firstLineChars="0" w:firstLine="0"/>
        <w:jc w:val="both"/>
      </w:pPr>
    </w:p>
    <w:p w14:paraId="4FC8DD65" w14:textId="7F5B040C" w:rsidR="00647BA0" w:rsidRDefault="001C6973" w:rsidP="00BD3A13">
      <w:pPr>
        <w:spacing w:line="240" w:lineRule="auto"/>
        <w:ind w:leftChars="0" w:left="0" w:firstLineChars="0" w:firstLine="0"/>
        <w:jc w:val="both"/>
      </w:pPr>
      <w:r>
        <w:t>A</w:t>
      </w:r>
      <w:r w:rsidR="00C7449A" w:rsidRPr="00A243B9">
        <w:t xml:space="preserve"> despeito das restrições do trabalho, no que tange a amostra, os resultados se mostraram satisfatórios para responder a quest</w:t>
      </w:r>
      <w:r w:rsidR="00647BA0">
        <w:t>ões</w:t>
      </w:r>
      <w:r w:rsidR="00C7449A" w:rsidRPr="00A243B9">
        <w:t xml:space="preserve"> norteadora</w:t>
      </w:r>
      <w:r w:rsidR="00647BA0">
        <w:t>s que</w:t>
      </w:r>
      <w:r w:rsidR="00C7449A" w:rsidRPr="00A243B9">
        <w:t>,</w:t>
      </w:r>
      <w:r w:rsidR="00647BA0">
        <w:t xml:space="preserve"> no contexto do projeto Arco Norte que </w:t>
      </w:r>
      <w:r w:rsidR="00E6665B" w:rsidRPr="009E2AA8">
        <w:t>servir</w:t>
      </w:r>
      <w:r w:rsidR="00647BA0">
        <w:t>ão</w:t>
      </w:r>
      <w:r w:rsidR="00E6665B" w:rsidRPr="009E2AA8">
        <w:t xml:space="preserve"> para </w:t>
      </w:r>
      <w:r w:rsidR="00C7449A" w:rsidRPr="009E2AA8">
        <w:t>direciona</w:t>
      </w:r>
      <w:r w:rsidR="00E6665B" w:rsidRPr="009E2AA8">
        <w:t>r</w:t>
      </w:r>
      <w:r w:rsidR="00C7449A" w:rsidRPr="009E2AA8">
        <w:t xml:space="preserve"> os tomadores de decisões sobre os investimentos estratégicos</w:t>
      </w:r>
      <w:r w:rsidR="00204BB5" w:rsidRPr="009E2AA8">
        <w:t xml:space="preserve"> </w:t>
      </w:r>
      <w:r w:rsidR="00204BB5" w:rsidRPr="009E2AA8">
        <w:lastRenderedPageBreak/>
        <w:t>necessários para fortalecer a inserção des</w:t>
      </w:r>
      <w:r w:rsidR="00647BA0">
        <w:t>t</w:t>
      </w:r>
      <w:r w:rsidR="00204BB5" w:rsidRPr="009E2AA8">
        <w:t>e porto no contexto nacional para a exportação de soja</w:t>
      </w:r>
      <w:r w:rsidR="00C7449A" w:rsidRPr="009E2AA8">
        <w:t>.</w:t>
      </w:r>
      <w:r w:rsidR="002D459C">
        <w:t xml:space="preserve"> </w:t>
      </w:r>
    </w:p>
    <w:p w14:paraId="6E9523F2" w14:textId="77777777" w:rsidR="00647BA0" w:rsidRDefault="00647BA0" w:rsidP="00BD3A13">
      <w:pPr>
        <w:spacing w:line="240" w:lineRule="auto"/>
        <w:ind w:leftChars="0" w:left="0" w:firstLineChars="0" w:firstLine="0"/>
        <w:jc w:val="both"/>
      </w:pPr>
    </w:p>
    <w:p w14:paraId="69DCE91A" w14:textId="6D7CA2A1" w:rsidR="00DE78B4" w:rsidRDefault="00E6665B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Por fim, a metodologia </w:t>
      </w:r>
      <w:r w:rsidR="00204BB5">
        <w:t>adotada e</w:t>
      </w:r>
      <w:r w:rsidR="00647BA0">
        <w:t>,</w:t>
      </w:r>
      <w:r w:rsidR="00204BB5">
        <w:t xml:space="preserve"> apresentada </w:t>
      </w:r>
      <w:r w:rsidR="00DA5B8D">
        <w:t xml:space="preserve">em </w:t>
      </w:r>
      <w:r w:rsidR="00204BB5">
        <w:t>detalhe</w:t>
      </w:r>
      <w:r w:rsidR="00DA5B8D">
        <w:t>s gerais</w:t>
      </w:r>
      <w:r w:rsidR="004907D3">
        <w:t>,</w:t>
      </w:r>
      <w:r w:rsidRPr="00A243B9">
        <w:t xml:space="preserve"> pode</w:t>
      </w:r>
      <w:r w:rsidR="00DA5B8D">
        <w:t>r</w:t>
      </w:r>
      <w:r w:rsidR="00647BA0">
        <w:t>á</w:t>
      </w:r>
      <w:r w:rsidRPr="00A243B9">
        <w:t xml:space="preserve"> servir para estudos posteriores em outros portos</w:t>
      </w:r>
      <w:r w:rsidR="00DA5B8D">
        <w:t>, seja nos</w:t>
      </w:r>
      <w:r w:rsidRPr="00A243B9">
        <w:t xml:space="preserve"> incluídos no projeto Arco Norte</w:t>
      </w:r>
      <w:r w:rsidR="00DA5B8D">
        <w:t xml:space="preserve">, ou em outras situações. Há de se referir de que a avaliação partiu da percepção interna dos </w:t>
      </w:r>
      <w:r w:rsidR="00DA5B8D" w:rsidRPr="00911DF7">
        <w:rPr>
          <w:i/>
        </w:rPr>
        <w:t>stakeholders</w:t>
      </w:r>
      <w:r w:rsidR="00DA5B8D">
        <w:t xml:space="preserve">, </w:t>
      </w:r>
      <w:r w:rsidR="00DE78B4">
        <w:t>podendo surgir estudos posteriores na perspectiva externa do porto, dado o caráter de competitividade com os demais portos.</w:t>
      </w:r>
      <w:r w:rsidR="001E5081">
        <w:t xml:space="preserve"> </w:t>
      </w:r>
    </w:p>
    <w:p w14:paraId="7D35FCFC" w14:textId="77777777" w:rsidR="001E5081" w:rsidRDefault="001E5081" w:rsidP="00BD3A13">
      <w:pPr>
        <w:spacing w:line="240" w:lineRule="auto"/>
        <w:ind w:leftChars="0" w:left="0" w:firstLineChars="0" w:firstLine="0"/>
        <w:jc w:val="both"/>
      </w:pPr>
    </w:p>
    <w:p w14:paraId="1F7CDB6C" w14:textId="1A14B675" w:rsidR="000404B5" w:rsidRPr="00BD3A13" w:rsidRDefault="00BD3A13" w:rsidP="00BD3A13">
      <w:pPr>
        <w:keepNext/>
        <w:keepLines/>
        <w:spacing w:line="240" w:lineRule="auto"/>
        <w:ind w:leftChars="0" w:left="0" w:firstLineChars="0" w:firstLine="0"/>
        <w:jc w:val="both"/>
        <w:rPr>
          <w:b/>
        </w:rPr>
      </w:pPr>
      <w:r w:rsidRPr="00BD3A13">
        <w:rPr>
          <w:b/>
        </w:rPr>
        <w:t>6 AGRADECIMENTOS</w:t>
      </w:r>
    </w:p>
    <w:p w14:paraId="6A06D465" w14:textId="77777777" w:rsidR="00AB7FC4" w:rsidRPr="00BD3A13" w:rsidRDefault="00AB7FC4" w:rsidP="00BD3A13">
      <w:pPr>
        <w:keepNext/>
        <w:keepLines/>
        <w:spacing w:line="240" w:lineRule="auto"/>
        <w:ind w:leftChars="0" w:left="0" w:firstLineChars="0" w:firstLine="0"/>
        <w:jc w:val="both"/>
      </w:pPr>
    </w:p>
    <w:p w14:paraId="326A6CC2" w14:textId="396913C9" w:rsidR="002D1895" w:rsidRDefault="000404B5" w:rsidP="00BD3A13">
      <w:pPr>
        <w:spacing w:line="240" w:lineRule="auto"/>
        <w:ind w:leftChars="0" w:left="0" w:firstLineChars="0" w:firstLine="0"/>
        <w:jc w:val="both"/>
      </w:pPr>
      <w:r w:rsidRPr="00BD3A13">
        <w:t>Os autores agradecem ao Conselho Nacional de Desenvolvimento Científico e Tecnológico – CNPQ, pelo aporte financeiro</w:t>
      </w:r>
      <w:r w:rsidR="00DE78B4">
        <w:t xml:space="preserve"> à pesquisa </w:t>
      </w:r>
      <w:r w:rsidR="00911DF7">
        <w:t xml:space="preserve">e </w:t>
      </w:r>
      <w:r w:rsidR="00911DF7" w:rsidRPr="00BD3A13">
        <w:t>a</w:t>
      </w:r>
      <w:r w:rsidRPr="00BD3A13">
        <w:t xml:space="preserve"> todos aqueles que colaboraram com a pesquisa de campo</w:t>
      </w:r>
      <w:r w:rsidR="002D1895" w:rsidRPr="00BD3A13">
        <w:t>, bem como</w:t>
      </w:r>
      <w:r w:rsidRPr="00BD3A13">
        <w:t xml:space="preserve"> nas discu</w:t>
      </w:r>
      <w:r w:rsidR="002D1895" w:rsidRPr="00BD3A13">
        <w:t>ssões e nos materiais recebidos.</w:t>
      </w:r>
    </w:p>
    <w:p w14:paraId="6F337655" w14:textId="77777777" w:rsidR="00A43F8F" w:rsidRPr="00BD3A13" w:rsidRDefault="00A43F8F" w:rsidP="00BD3A13">
      <w:pPr>
        <w:spacing w:line="240" w:lineRule="auto"/>
        <w:ind w:leftChars="0" w:left="0" w:firstLineChars="0" w:firstLine="0"/>
        <w:jc w:val="both"/>
      </w:pPr>
    </w:p>
    <w:p w14:paraId="074245B5" w14:textId="2FAA9AE1" w:rsidR="00402671" w:rsidRPr="00A243B9" w:rsidRDefault="00BD3A13" w:rsidP="00BD3A13">
      <w:pPr>
        <w:keepNext/>
        <w:keepLines/>
        <w:spacing w:line="240" w:lineRule="auto"/>
        <w:ind w:leftChars="0" w:left="0" w:firstLineChars="0" w:firstLine="0"/>
        <w:jc w:val="both"/>
      </w:pPr>
      <w:r w:rsidRPr="00BD3A13">
        <w:rPr>
          <w:b/>
        </w:rPr>
        <w:t>REFERÊNCIAS</w:t>
      </w:r>
    </w:p>
    <w:p w14:paraId="337A4477" w14:textId="77777777" w:rsidR="00A43F8F" w:rsidRDefault="00A43F8F" w:rsidP="00BD3A13">
      <w:pPr>
        <w:spacing w:line="240" w:lineRule="auto"/>
        <w:ind w:leftChars="0" w:left="0" w:firstLineChars="0" w:firstLine="0"/>
        <w:jc w:val="both"/>
      </w:pPr>
    </w:p>
    <w:p w14:paraId="4C0AE576" w14:textId="7C06FF3A" w:rsidR="0008541F" w:rsidRPr="00415E49" w:rsidRDefault="0008541F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  <w:r w:rsidRPr="00A243B9">
        <w:t xml:space="preserve">Almeida, M. A., &amp; Silva, S. S. (2020). Análise dos custos de transporte e armazenagem de soja no norte do Brasil. </w:t>
      </w:r>
      <w:r w:rsidRPr="00F4244B">
        <w:rPr>
          <w:i/>
          <w:lang w:val="en-US"/>
        </w:rPr>
        <w:t>Journal of Transport Geography</w:t>
      </w:r>
      <w:r w:rsidRPr="00A243B9">
        <w:rPr>
          <w:lang w:val="en-US"/>
        </w:rPr>
        <w:t xml:space="preserve">, 82, 102594. </w:t>
      </w:r>
      <w:r w:rsidR="009F25E6" w:rsidRPr="00415E49">
        <w:rPr>
          <w:lang w:val="en-US"/>
        </w:rPr>
        <w:t xml:space="preserve">Extraído de: </w:t>
      </w:r>
      <w:r w:rsidR="00CE4AA1" w:rsidRPr="00415E49">
        <w:rPr>
          <w:lang w:val="en-US"/>
        </w:rPr>
        <w:t>https://doi.org/10.1016/j.jtrangeo.2019.102594</w:t>
      </w:r>
      <w:r w:rsidR="00F111C8" w:rsidRPr="00415E49">
        <w:rPr>
          <w:lang w:val="en-US"/>
        </w:rPr>
        <w:t>.</w:t>
      </w:r>
    </w:p>
    <w:p w14:paraId="19EC84C4" w14:textId="72D20C4D" w:rsidR="00CE4AA1" w:rsidRPr="00415E49" w:rsidRDefault="00CE4AA1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</w:p>
    <w:p w14:paraId="7F2ED8C2" w14:textId="093122B2" w:rsidR="00CE4AA1" w:rsidRDefault="00CE4AA1" w:rsidP="00BD3A13">
      <w:pPr>
        <w:spacing w:line="240" w:lineRule="auto"/>
        <w:ind w:leftChars="0" w:left="0" w:firstLineChars="0" w:firstLine="0"/>
        <w:jc w:val="both"/>
        <w:rPr>
          <w:color w:val="000000" w:themeColor="text1"/>
          <w:shd w:val="clear" w:color="auto" w:fill="FFFFFF"/>
        </w:rPr>
      </w:pPr>
      <w:r w:rsidRPr="00C44322">
        <w:rPr>
          <w:bCs/>
          <w:color w:val="000000" w:themeColor="text1"/>
          <w:bdr w:val="none" w:sz="0" w:space="0" w:color="auto" w:frame="1"/>
        </w:rPr>
        <w:t>A</w:t>
      </w:r>
      <w:r w:rsidR="00C44322" w:rsidRPr="00C44322">
        <w:rPr>
          <w:bCs/>
          <w:color w:val="000000" w:themeColor="text1"/>
          <w:bdr w:val="none" w:sz="0" w:space="0" w:color="auto" w:frame="1"/>
        </w:rPr>
        <w:t>ranha</w:t>
      </w:r>
      <w:r w:rsidRPr="00C44322">
        <w:rPr>
          <w:bCs/>
          <w:color w:val="000000" w:themeColor="text1"/>
          <w:bdr w:val="none" w:sz="0" w:space="0" w:color="auto" w:frame="1"/>
        </w:rPr>
        <w:t>. M</w:t>
      </w:r>
      <w:r w:rsidRPr="00C44322">
        <w:rPr>
          <w:color w:val="000000" w:themeColor="text1"/>
          <w:shd w:val="clear" w:color="auto" w:fill="FFFFFF"/>
        </w:rPr>
        <w:t>; </w:t>
      </w:r>
      <w:r w:rsidRPr="00C44322">
        <w:rPr>
          <w:color w:val="000000" w:themeColor="text1"/>
          <w:bdr w:val="none" w:sz="0" w:space="0" w:color="auto" w:frame="1"/>
          <w:shd w:val="clear" w:color="auto" w:fill="FFFFFF"/>
        </w:rPr>
        <w:t>B</w:t>
      </w:r>
      <w:r w:rsidR="00C44322" w:rsidRPr="00C44322">
        <w:rPr>
          <w:color w:val="000000" w:themeColor="text1"/>
          <w:bdr w:val="none" w:sz="0" w:space="0" w:color="auto" w:frame="1"/>
          <w:shd w:val="clear" w:color="auto" w:fill="FFFFFF"/>
        </w:rPr>
        <w:t>orges</w:t>
      </w:r>
      <w:r w:rsidRPr="00C44322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C44322" w:rsidRPr="00C44322">
        <w:rPr>
          <w:color w:val="000000" w:themeColor="text1"/>
          <w:bdr w:val="none" w:sz="0" w:space="0" w:color="auto" w:frame="1"/>
          <w:shd w:val="clear" w:color="auto" w:fill="FFFFFF"/>
        </w:rPr>
        <w:t>A.</w:t>
      </w:r>
      <w:r w:rsidR="00C44322" w:rsidRPr="00C44322">
        <w:rPr>
          <w:color w:val="000000" w:themeColor="text1"/>
          <w:shd w:val="clear" w:color="auto" w:fill="FFFFFF"/>
        </w:rPr>
        <w:t>;</w:t>
      </w:r>
      <w:r w:rsidRPr="00C44322">
        <w:rPr>
          <w:color w:val="000000" w:themeColor="text1"/>
          <w:shd w:val="clear" w:color="auto" w:fill="FFFFFF"/>
        </w:rPr>
        <w:t> </w:t>
      </w:r>
      <w:r w:rsidRPr="00C44322">
        <w:rPr>
          <w:color w:val="000000" w:themeColor="text1"/>
          <w:bdr w:val="none" w:sz="0" w:space="0" w:color="auto" w:frame="1"/>
          <w:shd w:val="clear" w:color="auto" w:fill="FFFFFF"/>
        </w:rPr>
        <w:t>B</w:t>
      </w:r>
      <w:r w:rsidR="00C44322" w:rsidRPr="00C44322">
        <w:rPr>
          <w:color w:val="000000" w:themeColor="text1"/>
          <w:bdr w:val="none" w:sz="0" w:space="0" w:color="auto" w:frame="1"/>
          <w:shd w:val="clear" w:color="auto" w:fill="FFFFFF"/>
        </w:rPr>
        <w:t>raga</w:t>
      </w:r>
      <w:r w:rsidRPr="00C44322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C44322" w:rsidRPr="00C44322">
        <w:rPr>
          <w:color w:val="000000" w:themeColor="text1"/>
          <w:bdr w:val="none" w:sz="0" w:space="0" w:color="auto" w:frame="1"/>
          <w:shd w:val="clear" w:color="auto" w:fill="FFFFFF"/>
        </w:rPr>
        <w:t>H.</w:t>
      </w:r>
      <w:r w:rsidR="00C44322" w:rsidRPr="00C44322">
        <w:rPr>
          <w:color w:val="000000" w:themeColor="text1"/>
          <w:shd w:val="clear" w:color="auto" w:fill="FFFFFF"/>
        </w:rPr>
        <w:t>;</w:t>
      </w:r>
      <w:r w:rsidRPr="00C44322">
        <w:rPr>
          <w:color w:val="000000" w:themeColor="text1"/>
          <w:shd w:val="clear" w:color="auto" w:fill="FFFFFF"/>
        </w:rPr>
        <w:t> </w:t>
      </w:r>
      <w:r w:rsidR="00C44322" w:rsidRPr="00C44322">
        <w:rPr>
          <w:color w:val="000000" w:themeColor="text1"/>
          <w:bdr w:val="none" w:sz="0" w:space="0" w:color="auto" w:frame="1"/>
          <w:shd w:val="clear" w:color="auto" w:fill="FFFFFF"/>
        </w:rPr>
        <w:t>Figueiredo</w:t>
      </w:r>
      <w:r w:rsidRPr="00C44322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C44322" w:rsidRPr="00C44322">
        <w:rPr>
          <w:color w:val="000000" w:themeColor="text1"/>
          <w:bdr w:val="none" w:sz="0" w:space="0" w:color="auto" w:frame="1"/>
          <w:shd w:val="clear" w:color="auto" w:fill="FFFFFF"/>
        </w:rPr>
        <w:t>N. (2017)</w:t>
      </w:r>
      <w:r w:rsidR="00C44322" w:rsidRPr="00C44322">
        <w:rPr>
          <w:color w:val="000000" w:themeColor="text1"/>
          <w:shd w:val="clear" w:color="auto" w:fill="FFFFFF"/>
        </w:rPr>
        <w:t>.</w:t>
      </w:r>
      <w:r w:rsidRPr="00C44322">
        <w:rPr>
          <w:color w:val="000000" w:themeColor="text1"/>
          <w:shd w:val="clear" w:color="auto" w:fill="FFFFFF"/>
        </w:rPr>
        <w:t xml:space="preserve"> </w:t>
      </w:r>
      <w:r w:rsidR="00C44322" w:rsidRPr="00F4244B">
        <w:rPr>
          <w:i/>
          <w:color w:val="000000" w:themeColor="text1"/>
          <w:shd w:val="clear" w:color="auto" w:fill="FFFFFF"/>
        </w:rPr>
        <w:t xml:space="preserve">Uma proposta de modelo de </w:t>
      </w:r>
      <w:proofErr w:type="spellStart"/>
      <w:r w:rsidR="00C44322" w:rsidRPr="00F4244B">
        <w:rPr>
          <w:i/>
          <w:color w:val="000000" w:themeColor="text1"/>
          <w:shd w:val="clear" w:color="auto" w:fill="FFFFFF"/>
        </w:rPr>
        <w:t>benchmarcking</w:t>
      </w:r>
      <w:proofErr w:type="spellEnd"/>
      <w:r w:rsidR="00C44322" w:rsidRPr="00F4244B">
        <w:rPr>
          <w:i/>
          <w:color w:val="000000" w:themeColor="text1"/>
          <w:shd w:val="clear" w:color="auto" w:fill="FFFFFF"/>
        </w:rPr>
        <w:t xml:space="preserve"> e </w:t>
      </w:r>
      <w:r w:rsidR="00911DF7" w:rsidRPr="00F4244B">
        <w:rPr>
          <w:i/>
          <w:color w:val="000000" w:themeColor="text1"/>
          <w:shd w:val="clear" w:color="auto" w:fill="FFFFFF"/>
        </w:rPr>
        <w:t>AHP</w:t>
      </w:r>
      <w:r w:rsidR="00C44322" w:rsidRPr="00F4244B">
        <w:rPr>
          <w:i/>
          <w:color w:val="000000" w:themeColor="text1"/>
          <w:shd w:val="clear" w:color="auto" w:fill="FFFFFF"/>
        </w:rPr>
        <w:t xml:space="preserve"> que classifique como hub </w:t>
      </w:r>
      <w:proofErr w:type="spellStart"/>
      <w:r w:rsidR="00C44322" w:rsidRPr="00F4244B">
        <w:rPr>
          <w:i/>
          <w:color w:val="000000" w:themeColor="text1"/>
          <w:shd w:val="clear" w:color="auto" w:fill="FFFFFF"/>
        </w:rPr>
        <w:t>port</w:t>
      </w:r>
      <w:proofErr w:type="spellEnd"/>
      <w:r w:rsidR="00C44322" w:rsidRPr="00F4244B">
        <w:rPr>
          <w:i/>
          <w:color w:val="000000" w:themeColor="text1"/>
          <w:shd w:val="clear" w:color="auto" w:fill="FFFFFF"/>
        </w:rPr>
        <w:t xml:space="preserve"> uma plataforma </w:t>
      </w:r>
      <w:r w:rsidR="00911DF7" w:rsidRPr="00F4244B">
        <w:rPr>
          <w:i/>
          <w:color w:val="000000" w:themeColor="text1"/>
          <w:shd w:val="clear" w:color="auto" w:fill="FFFFFF"/>
        </w:rPr>
        <w:t>logística</w:t>
      </w:r>
      <w:r w:rsidR="00C44322" w:rsidRPr="00F4244B">
        <w:rPr>
          <w:i/>
          <w:color w:val="000000" w:themeColor="text1"/>
          <w:shd w:val="clear" w:color="auto" w:fill="FFFFFF"/>
        </w:rPr>
        <w:t xml:space="preserve"> que atenda a demanda de navios pós </w:t>
      </w:r>
      <w:proofErr w:type="spellStart"/>
      <w:r w:rsidR="00911DF7" w:rsidRPr="00F4244B">
        <w:rPr>
          <w:i/>
          <w:color w:val="000000" w:themeColor="text1"/>
          <w:shd w:val="clear" w:color="auto" w:fill="FFFFFF"/>
        </w:rPr>
        <w:t>P</w:t>
      </w:r>
      <w:r w:rsidR="00C44322" w:rsidRPr="00F4244B">
        <w:rPr>
          <w:i/>
          <w:color w:val="000000" w:themeColor="text1"/>
          <w:shd w:val="clear" w:color="auto" w:fill="FFFFFF"/>
        </w:rPr>
        <w:t>anamax</w:t>
      </w:r>
      <w:proofErr w:type="spellEnd"/>
      <w:r w:rsidR="00C44322" w:rsidRPr="00F4244B">
        <w:rPr>
          <w:i/>
          <w:color w:val="000000" w:themeColor="text1"/>
          <w:shd w:val="clear" w:color="auto" w:fill="FFFFFF"/>
        </w:rPr>
        <w:t>. Um estudo de caso no litoral do Pará</w:t>
      </w:r>
      <w:r w:rsidRPr="00F4244B">
        <w:rPr>
          <w:i/>
          <w:color w:val="000000" w:themeColor="text1"/>
          <w:shd w:val="clear" w:color="auto" w:fill="FFFFFF"/>
        </w:rPr>
        <w:t>.</w:t>
      </w:r>
      <w:r w:rsidRPr="00C44322">
        <w:rPr>
          <w:color w:val="000000" w:themeColor="text1"/>
          <w:shd w:val="clear" w:color="auto" w:fill="FFFFFF"/>
        </w:rPr>
        <w:t xml:space="preserve"> 4th </w:t>
      </w:r>
      <w:proofErr w:type="spellStart"/>
      <w:r w:rsidRPr="00C44322">
        <w:rPr>
          <w:color w:val="000000" w:themeColor="text1"/>
          <w:shd w:val="clear" w:color="auto" w:fill="FFFFFF"/>
        </w:rPr>
        <w:t>International</w:t>
      </w:r>
      <w:proofErr w:type="spellEnd"/>
      <w:r w:rsidRPr="00C44322">
        <w:rPr>
          <w:color w:val="000000" w:themeColor="text1"/>
          <w:shd w:val="clear" w:color="auto" w:fill="FFFFFF"/>
        </w:rPr>
        <w:t xml:space="preserve"> </w:t>
      </w:r>
      <w:proofErr w:type="spellStart"/>
      <w:r w:rsidRPr="00C44322">
        <w:rPr>
          <w:color w:val="000000" w:themeColor="text1"/>
          <w:shd w:val="clear" w:color="auto" w:fill="FFFFFF"/>
        </w:rPr>
        <w:t>Congress</w:t>
      </w:r>
      <w:proofErr w:type="spellEnd"/>
      <w:r w:rsidRPr="00C44322">
        <w:rPr>
          <w:color w:val="000000" w:themeColor="text1"/>
          <w:shd w:val="clear" w:color="auto" w:fill="FFFFFF"/>
        </w:rPr>
        <w:t xml:space="preserve"> </w:t>
      </w:r>
      <w:proofErr w:type="spellStart"/>
      <w:r w:rsidRPr="00C44322">
        <w:rPr>
          <w:color w:val="000000" w:themeColor="text1"/>
          <w:shd w:val="clear" w:color="auto" w:fill="FFFFFF"/>
        </w:rPr>
        <w:t>on</w:t>
      </w:r>
      <w:proofErr w:type="spellEnd"/>
      <w:r w:rsidRPr="00C44322">
        <w:rPr>
          <w:color w:val="000000" w:themeColor="text1"/>
          <w:shd w:val="clear" w:color="auto" w:fill="FFFFFF"/>
        </w:rPr>
        <w:t xml:space="preserve"> </w:t>
      </w:r>
      <w:proofErr w:type="spellStart"/>
      <w:r w:rsidRPr="00C44322">
        <w:rPr>
          <w:color w:val="000000" w:themeColor="text1"/>
          <w:shd w:val="clear" w:color="auto" w:fill="FFFFFF"/>
        </w:rPr>
        <w:t>Port</w:t>
      </w:r>
      <w:proofErr w:type="spellEnd"/>
      <w:r w:rsidRPr="00C44322">
        <w:rPr>
          <w:color w:val="000000" w:themeColor="text1"/>
          <w:shd w:val="clear" w:color="auto" w:fill="FFFFFF"/>
        </w:rPr>
        <w:t xml:space="preserve"> </w:t>
      </w:r>
      <w:proofErr w:type="spellStart"/>
      <w:r w:rsidRPr="00C44322">
        <w:rPr>
          <w:color w:val="000000" w:themeColor="text1"/>
          <w:shd w:val="clear" w:color="auto" w:fill="FFFFFF"/>
        </w:rPr>
        <w:t>Perfomance</w:t>
      </w:r>
      <w:proofErr w:type="spellEnd"/>
      <w:r w:rsidRPr="00C44322">
        <w:rPr>
          <w:color w:val="000000" w:themeColor="text1"/>
          <w:shd w:val="clear" w:color="auto" w:fill="FFFFFF"/>
        </w:rPr>
        <w:t>, v. 1, p. 692-707.</w:t>
      </w:r>
    </w:p>
    <w:p w14:paraId="20085DE2" w14:textId="7C066AAF" w:rsidR="00C44322" w:rsidRDefault="00C44322" w:rsidP="00BD3A13">
      <w:pPr>
        <w:spacing w:line="240" w:lineRule="auto"/>
        <w:ind w:leftChars="0" w:left="0" w:firstLineChars="0" w:firstLine="0"/>
        <w:jc w:val="both"/>
        <w:rPr>
          <w:color w:val="000000" w:themeColor="text1"/>
          <w:shd w:val="clear" w:color="auto" w:fill="FFFFFF"/>
        </w:rPr>
      </w:pPr>
    </w:p>
    <w:p w14:paraId="1D37B5A3" w14:textId="38DA52AF" w:rsidR="00C44322" w:rsidRPr="00CE4AA1" w:rsidRDefault="00C44322" w:rsidP="00BD3A13">
      <w:pPr>
        <w:spacing w:line="240" w:lineRule="auto"/>
        <w:ind w:leftChars="0" w:left="0" w:firstLineChars="0" w:firstLine="0"/>
        <w:jc w:val="both"/>
      </w:pPr>
      <w:r w:rsidRPr="00EB383C">
        <w:t>BRASIL. Ministério dos Transportes, Portos e Aviação Civil</w:t>
      </w:r>
      <w:r>
        <w:t xml:space="preserve"> (2017). </w:t>
      </w:r>
      <w:r w:rsidRPr="00F4244B">
        <w:rPr>
          <w:i/>
        </w:rPr>
        <w:t>Corredores Logísticos Estratégicos: Complexo de Soja e Milho /Ministério dos Transportes, Portos e Aviação Civil.</w:t>
      </w:r>
      <w:r>
        <w:t xml:space="preserve"> Brasília: MTPA.</w:t>
      </w:r>
    </w:p>
    <w:p w14:paraId="18BDDB39" w14:textId="0C139A8E" w:rsidR="002F0448" w:rsidRPr="00CE4AA1" w:rsidRDefault="002F0448" w:rsidP="00BD3A13">
      <w:pPr>
        <w:spacing w:line="240" w:lineRule="auto"/>
        <w:ind w:leftChars="0" w:left="0" w:firstLineChars="0" w:firstLine="0"/>
        <w:jc w:val="both"/>
      </w:pPr>
    </w:p>
    <w:p w14:paraId="671CFC92" w14:textId="2A5BF977" w:rsidR="002F0448" w:rsidRPr="00A243B9" w:rsidRDefault="002F0448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BRASIL (2018). Lei nº 13.709, de 14 de agosto de 2018. </w:t>
      </w:r>
      <w:r w:rsidRPr="00F4244B">
        <w:rPr>
          <w:i/>
        </w:rPr>
        <w:t>Dispõe sobre a proteção de dados pessoais e altera a Lei nº 12.965, de 23 de abril de 2014</w:t>
      </w:r>
      <w:r w:rsidRPr="00A243B9">
        <w:t xml:space="preserve"> (Marco Civil da Internet). Brasília, DF.</w:t>
      </w:r>
      <w:r w:rsidR="009F25E6" w:rsidRPr="00A243B9">
        <w:t xml:space="preserve"> Extraído de: </w:t>
      </w:r>
      <w:r w:rsidR="00F964AB" w:rsidRPr="00A243B9">
        <w:t>http://www.planalto.gov.br/ccivil_03/_ato2015</w:t>
      </w:r>
      <w:r w:rsidR="009F25E6" w:rsidRPr="00A243B9">
        <w:t xml:space="preserve"> </w:t>
      </w:r>
      <w:r w:rsidRPr="00A243B9">
        <w:t>2018/2018/lei/L13709.htm</w:t>
      </w:r>
    </w:p>
    <w:p w14:paraId="506563C1" w14:textId="0B62B8EC" w:rsidR="00F111C8" w:rsidRPr="00A243B9" w:rsidRDefault="00F111C8" w:rsidP="00BD3A13">
      <w:pPr>
        <w:spacing w:line="240" w:lineRule="auto"/>
        <w:ind w:leftChars="0" w:left="0" w:firstLineChars="0" w:firstLine="0"/>
        <w:jc w:val="both"/>
      </w:pPr>
    </w:p>
    <w:p w14:paraId="66CCFE18" w14:textId="1D3FB759" w:rsidR="000A49F8" w:rsidRDefault="000A49F8" w:rsidP="00BD3A13">
      <w:pPr>
        <w:spacing w:line="240" w:lineRule="auto"/>
        <w:ind w:leftChars="0" w:left="0" w:firstLineChars="0" w:firstLine="0"/>
        <w:jc w:val="both"/>
      </w:pPr>
      <w:r>
        <w:t xml:space="preserve">BRASIL (1996). </w:t>
      </w:r>
      <w:r w:rsidRPr="00F4244B">
        <w:rPr>
          <w:i/>
        </w:rPr>
        <w:t>Resolução nº 196, de 10 de outubro de 1996. Aprova diretrizes e normas regulamentadoras de pesquisas envolvendo seres humanos.</w:t>
      </w:r>
      <w:r>
        <w:t xml:space="preserve"> </w:t>
      </w:r>
      <w:r w:rsidRPr="00A243B9">
        <w:t>Conselho Nacional de Saúde</w:t>
      </w:r>
      <w:r>
        <w:t>.</w:t>
      </w:r>
      <w:r w:rsidRPr="00A243B9">
        <w:t xml:space="preserve"> Extraído de: &lt;http://conselho.saude.gov.br/resolucoes/1996/Reso196.doc&gt;.</w:t>
      </w:r>
    </w:p>
    <w:p w14:paraId="306993B8" w14:textId="5D54D122" w:rsidR="00CE4AA1" w:rsidRDefault="00CE4AA1" w:rsidP="00BD3A13">
      <w:pPr>
        <w:spacing w:line="240" w:lineRule="auto"/>
        <w:ind w:leftChars="0" w:left="0" w:firstLineChars="0" w:firstLine="0"/>
        <w:jc w:val="both"/>
      </w:pPr>
    </w:p>
    <w:p w14:paraId="19E7F6A5" w14:textId="0C306015" w:rsidR="00CE4AA1" w:rsidRPr="00CE4AA1" w:rsidRDefault="00BD3A13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  <w:proofErr w:type="spellStart"/>
      <w:r>
        <w:rPr>
          <w:lang w:val="en-US"/>
        </w:rPr>
        <w:t>Benjamim</w:t>
      </w:r>
      <w:proofErr w:type="spellEnd"/>
      <w:r w:rsidR="00CE4AA1" w:rsidRPr="00CE4AA1">
        <w:rPr>
          <w:lang w:val="en-US"/>
        </w:rPr>
        <w:t>, C</w:t>
      </w:r>
      <w:r w:rsidR="00CE4AA1">
        <w:rPr>
          <w:lang w:val="en-US"/>
        </w:rPr>
        <w:t>.</w:t>
      </w:r>
      <w:r w:rsidR="00CE4AA1" w:rsidRPr="00CE4AA1">
        <w:rPr>
          <w:lang w:val="en-US"/>
        </w:rPr>
        <w:t xml:space="preserve"> </w:t>
      </w:r>
      <w:r w:rsidR="00CE4AA1">
        <w:rPr>
          <w:lang w:val="en-US"/>
        </w:rPr>
        <w:t xml:space="preserve">M. </w:t>
      </w:r>
      <w:r w:rsidR="00CE4AA1" w:rsidRPr="00CE4AA1">
        <w:rPr>
          <w:lang w:val="en-US"/>
        </w:rPr>
        <w:t>(2019)</w:t>
      </w:r>
      <w:r w:rsidR="00CE4AA1">
        <w:rPr>
          <w:lang w:val="en-US"/>
        </w:rPr>
        <w:t xml:space="preserve">. </w:t>
      </w:r>
      <w:r w:rsidR="00CE4AA1" w:rsidRPr="00CE4AA1">
        <w:rPr>
          <w:lang w:val="en-US"/>
        </w:rPr>
        <w:t>Data for: The ship recycling market i</w:t>
      </w:r>
      <w:r w:rsidR="00CE4AA1">
        <w:rPr>
          <w:lang w:val="en-US"/>
        </w:rPr>
        <w:t>n Brazil - The Amazon potential</w:t>
      </w:r>
      <w:r w:rsidR="00CE4AA1" w:rsidRPr="00CE4AA1">
        <w:rPr>
          <w:lang w:val="en-US"/>
        </w:rPr>
        <w:t xml:space="preserve">, </w:t>
      </w:r>
      <w:proofErr w:type="spellStart"/>
      <w:r w:rsidR="00CE4AA1" w:rsidRPr="00F4244B">
        <w:rPr>
          <w:i/>
          <w:lang w:val="en-US"/>
        </w:rPr>
        <w:t>Mendeley</w:t>
      </w:r>
      <w:proofErr w:type="spellEnd"/>
      <w:r w:rsidR="00CE4AA1" w:rsidRPr="00F4244B">
        <w:rPr>
          <w:i/>
          <w:lang w:val="en-US"/>
        </w:rPr>
        <w:t xml:space="preserve"> Data</w:t>
      </w:r>
      <w:r w:rsidR="00CE4AA1" w:rsidRPr="00CE4AA1">
        <w:rPr>
          <w:lang w:val="en-US"/>
        </w:rPr>
        <w:t xml:space="preserve">, V1, </w:t>
      </w:r>
      <w:proofErr w:type="spellStart"/>
      <w:r w:rsidR="00CE4AA1" w:rsidRPr="00CE4AA1">
        <w:rPr>
          <w:lang w:val="en-US"/>
        </w:rPr>
        <w:t>doi</w:t>
      </w:r>
      <w:proofErr w:type="spellEnd"/>
      <w:r w:rsidR="00CE4AA1" w:rsidRPr="00CE4AA1">
        <w:rPr>
          <w:lang w:val="en-US"/>
        </w:rPr>
        <w:t>: 10.17632/grcb72kccf.1</w:t>
      </w:r>
    </w:p>
    <w:p w14:paraId="478EA09F" w14:textId="77777777" w:rsidR="00A243B9" w:rsidRPr="00CE4AA1" w:rsidRDefault="00A243B9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</w:p>
    <w:p w14:paraId="5911ABEB" w14:textId="23EA33C3" w:rsidR="0008541F" w:rsidRDefault="0008541F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  <w:r w:rsidRPr="00A243B9">
        <w:t xml:space="preserve">CONAB. (2021). </w:t>
      </w:r>
      <w:r w:rsidRPr="00F4244B">
        <w:rPr>
          <w:i/>
        </w:rPr>
        <w:t>Acompanhamento da safra brasileira grãos, safra 2020/21 – Décimo primeiro levantamento. Brasília/DF.</w:t>
      </w:r>
      <w:r w:rsidR="009F25E6" w:rsidRPr="00A243B9">
        <w:t xml:space="preserve"> Extraído de </w:t>
      </w:r>
      <w:r w:rsidRPr="00A243B9">
        <w:t xml:space="preserve">https://www.conab.gov.br/info-agro/safras/graos/boletim-da-safra-de-graos. </w:t>
      </w:r>
      <w:proofErr w:type="spellStart"/>
      <w:r w:rsidRPr="00F4244B">
        <w:rPr>
          <w:lang w:val="en-US"/>
        </w:rPr>
        <w:t>Acesso</w:t>
      </w:r>
      <w:proofErr w:type="spellEnd"/>
      <w:r w:rsidRPr="00F4244B">
        <w:rPr>
          <w:lang w:val="en-US"/>
        </w:rPr>
        <w:t xml:space="preserve"> </w:t>
      </w:r>
      <w:proofErr w:type="spellStart"/>
      <w:r w:rsidRPr="00F4244B">
        <w:rPr>
          <w:lang w:val="en-US"/>
        </w:rPr>
        <w:t>em</w:t>
      </w:r>
      <w:proofErr w:type="spellEnd"/>
      <w:r w:rsidRPr="00F4244B">
        <w:rPr>
          <w:lang w:val="en-US"/>
        </w:rPr>
        <w:t xml:space="preserve"> 15 set. 2023.</w:t>
      </w:r>
    </w:p>
    <w:p w14:paraId="6AD083F3" w14:textId="77777777" w:rsidR="00F4244B" w:rsidRDefault="00F4244B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</w:p>
    <w:p w14:paraId="423C71E5" w14:textId="618A6776" w:rsidR="00F4244B" w:rsidRPr="00EB383C" w:rsidRDefault="00F4244B" w:rsidP="00F4244B">
      <w:pPr>
        <w:spacing w:line="240" w:lineRule="auto"/>
        <w:ind w:leftChars="0" w:left="0" w:firstLineChars="0" w:firstLine="0"/>
        <w:jc w:val="both"/>
      </w:pPr>
      <w:r w:rsidRPr="00EB383C">
        <w:t xml:space="preserve">CDSA – Companhia Docas de Santana. </w:t>
      </w:r>
      <w:r w:rsidRPr="00F4244B">
        <w:rPr>
          <w:i/>
        </w:rPr>
        <w:t>Plano de Desenvolvimento e Zoneamento – PDZ do Porto de Santana/AP: Relatório Final.</w:t>
      </w:r>
      <w:r w:rsidRPr="00EB383C">
        <w:t xml:space="preserve"> Florianópolis/PR: 2017. Disponível em: &lt;http://www.docasdesantana.com.br/images/arquivos/legislacao/PDZ/PDZ2018.pdf.&gt;. Acesso em 01 out. 202</w:t>
      </w:r>
      <w:r w:rsidR="00296777">
        <w:t>3</w:t>
      </w:r>
      <w:r w:rsidRPr="00EB383C">
        <w:t xml:space="preserve">. </w:t>
      </w:r>
    </w:p>
    <w:p w14:paraId="69A38BF0" w14:textId="77777777" w:rsidR="00F4244B" w:rsidRPr="00F4244B" w:rsidRDefault="00F4244B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</w:p>
    <w:p w14:paraId="02A84CD4" w14:textId="3EE9217A" w:rsidR="00273183" w:rsidRDefault="00273183" w:rsidP="00BD3A13">
      <w:pPr>
        <w:spacing w:line="240" w:lineRule="auto"/>
        <w:ind w:leftChars="0" w:left="0" w:firstLineChars="0" w:firstLine="0"/>
        <w:jc w:val="both"/>
      </w:pPr>
      <w:r w:rsidRPr="00911DF7">
        <w:rPr>
          <w:lang w:val="en-US"/>
        </w:rPr>
        <w:lastRenderedPageBreak/>
        <w:t>C</w:t>
      </w:r>
      <w:r w:rsidR="005A6C71" w:rsidRPr="00911DF7">
        <w:rPr>
          <w:lang w:val="en-US"/>
        </w:rPr>
        <w:t xml:space="preserve">reative </w:t>
      </w:r>
      <w:r w:rsidRPr="00911DF7">
        <w:rPr>
          <w:lang w:val="en-US"/>
        </w:rPr>
        <w:t>D</w:t>
      </w:r>
      <w:r w:rsidR="005A6C71" w:rsidRPr="00911DF7">
        <w:rPr>
          <w:lang w:val="en-US"/>
        </w:rPr>
        <w:t>ecisions</w:t>
      </w:r>
      <w:r w:rsidRPr="00911DF7">
        <w:rPr>
          <w:lang w:val="en-US"/>
        </w:rPr>
        <w:t xml:space="preserve"> F</w:t>
      </w:r>
      <w:r w:rsidR="005A6C71" w:rsidRPr="00911DF7">
        <w:rPr>
          <w:lang w:val="en-US"/>
        </w:rPr>
        <w:t>ou</w:t>
      </w:r>
      <w:r w:rsidR="00434CA3">
        <w:rPr>
          <w:lang w:val="en-US"/>
        </w:rPr>
        <w:t>n</w:t>
      </w:r>
      <w:r w:rsidR="005A6C71" w:rsidRPr="00911DF7">
        <w:rPr>
          <w:lang w:val="en-US"/>
        </w:rPr>
        <w:t>dation</w:t>
      </w:r>
      <w:r w:rsidRPr="00911DF7">
        <w:rPr>
          <w:lang w:val="en-US"/>
        </w:rPr>
        <w:t xml:space="preserve">. </w:t>
      </w:r>
      <w:r w:rsidRPr="00F4244B">
        <w:rPr>
          <w:i/>
          <w:lang w:val="en-US"/>
        </w:rPr>
        <w:t>Super Decisions Software for Decision Making</w:t>
      </w:r>
      <w:r w:rsidRPr="00002B49">
        <w:rPr>
          <w:lang w:val="en-US"/>
        </w:rPr>
        <w:t xml:space="preserve">. </w:t>
      </w:r>
      <w:r>
        <w:t>Disponível em: http://www.superdecisions.com/. Acesso em abr. 2024.</w:t>
      </w:r>
    </w:p>
    <w:p w14:paraId="7CF33B60" w14:textId="77777777" w:rsidR="00273183" w:rsidRDefault="00273183" w:rsidP="00BD3A13">
      <w:pPr>
        <w:spacing w:line="240" w:lineRule="auto"/>
        <w:ind w:leftChars="0" w:left="0" w:firstLineChars="0" w:firstLine="0"/>
        <w:jc w:val="both"/>
      </w:pPr>
    </w:p>
    <w:p w14:paraId="15FD3E39" w14:textId="3205063E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Gomes, L. F. A. M., González, M. C. A., &amp; </w:t>
      </w:r>
      <w:proofErr w:type="spellStart"/>
      <w:r w:rsidRPr="00A243B9">
        <w:t>Carignano</w:t>
      </w:r>
      <w:proofErr w:type="spellEnd"/>
      <w:r w:rsidRPr="00A243B9">
        <w:t xml:space="preserve">, C. (2004). </w:t>
      </w:r>
      <w:r w:rsidRPr="00F4244B">
        <w:t>Tomada de decisões em cenários complexos: introdução aos métodos discretos do apoio multicritério à decisão.</w:t>
      </w:r>
      <w:r w:rsidRPr="00A243B9">
        <w:t xml:space="preserve"> São Paulo: </w:t>
      </w:r>
      <w:r w:rsidRPr="00F4244B">
        <w:rPr>
          <w:i/>
        </w:rPr>
        <w:t>Thomson Learning</w:t>
      </w:r>
      <w:r w:rsidRPr="00A243B9">
        <w:t>.</w:t>
      </w:r>
    </w:p>
    <w:p w14:paraId="05CD51C4" w14:textId="77777777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</w:p>
    <w:p w14:paraId="2F48E11B" w14:textId="1AB6B605" w:rsidR="0008541F" w:rsidRDefault="0008541F" w:rsidP="00BD3A13">
      <w:pPr>
        <w:spacing w:line="240" w:lineRule="auto"/>
        <w:ind w:leftChars="0" w:left="0" w:firstLineChars="0" w:firstLine="0"/>
        <w:jc w:val="both"/>
      </w:pPr>
      <w:proofErr w:type="spellStart"/>
      <w:r w:rsidRPr="00A243B9">
        <w:t>Llorca</w:t>
      </w:r>
      <w:proofErr w:type="spellEnd"/>
      <w:r w:rsidRPr="00A243B9">
        <w:t xml:space="preserve">, R. P., Lima, R. S., &amp; Lopes, H. S. (2018). </w:t>
      </w:r>
      <w:r w:rsidRPr="00F4244B">
        <w:rPr>
          <w:i/>
        </w:rPr>
        <w:t>Análise da Logística de Exportação da Soja do Centro-Oeste Brasileiro a partir da Expansão do Canal do Panamá.</w:t>
      </w:r>
      <w:r w:rsidRPr="00A243B9">
        <w:t xml:space="preserve"> Em 32º Congresso de Pesquisa e Ensino em Transporte, 2132, Gramado/RS. </w:t>
      </w:r>
      <w:r w:rsidR="009F25E6" w:rsidRPr="00A243B9">
        <w:t xml:space="preserve">Extraído de: </w:t>
      </w:r>
      <w:r w:rsidRPr="00A243B9">
        <w:t>https://www.anpet.org.br/anais32/documentos/2018/Logistica/Logistica%20de%20Carga%20de%20Longa%20Distancia/2_379_AC.pdf. Acesso em 20 ago. 2023.</w:t>
      </w:r>
    </w:p>
    <w:p w14:paraId="6E71AF1C" w14:textId="77777777" w:rsidR="00273183" w:rsidRDefault="00273183" w:rsidP="00BD3A13">
      <w:pPr>
        <w:spacing w:line="240" w:lineRule="auto"/>
        <w:ind w:leftChars="0" w:left="0" w:firstLineChars="0" w:firstLine="0"/>
        <w:jc w:val="both"/>
      </w:pPr>
    </w:p>
    <w:p w14:paraId="6C15C86C" w14:textId="77777777" w:rsidR="00273183" w:rsidRDefault="00273183" w:rsidP="00BD3A13">
      <w:pPr>
        <w:spacing w:line="240" w:lineRule="auto"/>
        <w:ind w:leftChars="0" w:left="0" w:firstLineChars="0" w:firstLine="0"/>
        <w:jc w:val="both"/>
      </w:pPr>
      <w:r>
        <w:t xml:space="preserve">Marins, C. S., Souza, Daniela De Oliveira, Freitas, André Luis </w:t>
      </w:r>
      <w:proofErr w:type="spellStart"/>
      <w:r>
        <w:t>Policani</w:t>
      </w:r>
      <w:proofErr w:type="spellEnd"/>
      <w:r>
        <w:t xml:space="preserve">. </w:t>
      </w:r>
      <w:r w:rsidRPr="00F4244B">
        <w:t>A metodologia de multicritério como ferramenta para a tomada de decisões gerenciais: um estudo de caso.</w:t>
      </w:r>
      <w:r>
        <w:t xml:space="preserve"> </w:t>
      </w:r>
      <w:r w:rsidRPr="00F4244B">
        <w:rPr>
          <w:i/>
        </w:rPr>
        <w:t>GEPROS</w:t>
      </w:r>
      <w:r>
        <w:t>, 2006.</w:t>
      </w:r>
    </w:p>
    <w:p w14:paraId="4C0891C5" w14:textId="77777777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</w:p>
    <w:p w14:paraId="19F09ED4" w14:textId="56DF402D" w:rsidR="0008541F" w:rsidRDefault="0008541F" w:rsidP="00BD3A13">
      <w:pPr>
        <w:spacing w:line="240" w:lineRule="auto"/>
        <w:ind w:leftChars="0" w:left="0" w:firstLineChars="0" w:firstLine="0"/>
        <w:jc w:val="both"/>
      </w:pPr>
      <w:proofErr w:type="spellStart"/>
      <w:r w:rsidRPr="00A243B9">
        <w:t>Pastre</w:t>
      </w:r>
      <w:proofErr w:type="spellEnd"/>
      <w:r w:rsidRPr="00A243B9">
        <w:t xml:space="preserve">, R. (2018). Plano de desenvolvimento regional BR-163 sustentável: Avaliação das repercussões das ações estratégicas em infraestrutura sobre o norte do mato grosso. </w:t>
      </w:r>
      <w:r w:rsidRPr="00F4244B">
        <w:rPr>
          <w:i/>
        </w:rPr>
        <w:t>Revista de Economia Regional, Urbana e do Trabalho</w:t>
      </w:r>
      <w:r w:rsidRPr="00A243B9">
        <w:t xml:space="preserve">, 7(1), 5-34. Extraído de </w:t>
      </w:r>
      <w:r w:rsidR="005A6C71" w:rsidRPr="005A6C71">
        <w:t>https://ojs.ccsa.ufrn.br/index.php/rerut/article/view/965/1168</w:t>
      </w:r>
      <w:r w:rsidRPr="00A243B9">
        <w:t>.</w:t>
      </w:r>
    </w:p>
    <w:p w14:paraId="3D36F17D" w14:textId="7D6A3AB4" w:rsidR="005A6C71" w:rsidRDefault="005A6C71" w:rsidP="00BD3A13">
      <w:pPr>
        <w:spacing w:line="240" w:lineRule="auto"/>
        <w:ind w:leftChars="0" w:left="0" w:firstLineChars="0" w:firstLine="0"/>
        <w:jc w:val="both"/>
      </w:pPr>
    </w:p>
    <w:p w14:paraId="76313CAB" w14:textId="76146805" w:rsidR="0008541F" w:rsidRDefault="00E179BF" w:rsidP="00BD3A13">
      <w:pPr>
        <w:spacing w:line="240" w:lineRule="auto"/>
        <w:ind w:leftChars="0" w:left="0" w:firstLineChars="0" w:firstLine="0"/>
        <w:jc w:val="both"/>
      </w:pPr>
      <w:r>
        <w:t xml:space="preserve">Porto, J. L. R. (2020). </w:t>
      </w:r>
      <w:r w:rsidRPr="00F4244B">
        <w:rPr>
          <w:rStyle w:val="nfase"/>
        </w:rPr>
        <w:t xml:space="preserve">Desenvolvimento geográfico desigual da faixa de fronteira da Amazônia setentrional brasileira: reformas da condição fronteiriça amapaense </w:t>
      </w:r>
      <w:r w:rsidRPr="00E179BF">
        <w:rPr>
          <w:rStyle w:val="nfase"/>
          <w:i w:val="0"/>
        </w:rPr>
        <w:t>(1943-2013)</w:t>
      </w:r>
      <w:r w:rsidRPr="00E179BF">
        <w:rPr>
          <w:i/>
        </w:rPr>
        <w:t>.</w:t>
      </w:r>
      <w:r>
        <w:t xml:space="preserve"> Curitiba: UNIEDUSUL.</w:t>
      </w:r>
    </w:p>
    <w:p w14:paraId="07E78879" w14:textId="77777777" w:rsidR="00E179BF" w:rsidRPr="00A243B9" w:rsidRDefault="00E179BF" w:rsidP="00BD3A13">
      <w:pPr>
        <w:spacing w:line="240" w:lineRule="auto"/>
        <w:ind w:leftChars="0" w:left="0" w:firstLineChars="0" w:firstLine="0"/>
        <w:jc w:val="both"/>
      </w:pPr>
    </w:p>
    <w:p w14:paraId="0B06D60C" w14:textId="33837B7E" w:rsidR="00C6266E" w:rsidRDefault="00C6266E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Reis, E., Melo, P., Andrade, R. &amp; </w:t>
      </w:r>
      <w:proofErr w:type="spellStart"/>
      <w:r w:rsidRPr="00A243B9">
        <w:t>Calapez</w:t>
      </w:r>
      <w:proofErr w:type="spellEnd"/>
      <w:r w:rsidRPr="00A243B9">
        <w:t xml:space="preserve">, T. (2022). </w:t>
      </w:r>
      <w:r w:rsidRPr="00F4244B">
        <w:rPr>
          <w:i/>
        </w:rPr>
        <w:t>Estatística Aplicada</w:t>
      </w:r>
      <w:r w:rsidRPr="00A243B9">
        <w:t>. 6</w:t>
      </w:r>
      <w:r w:rsidRPr="00A243B9">
        <w:rPr>
          <w:u w:val="single"/>
          <w:vertAlign w:val="superscript"/>
        </w:rPr>
        <w:t>a</w:t>
      </w:r>
      <w:r w:rsidRPr="00A243B9">
        <w:t xml:space="preserve"> (</w:t>
      </w:r>
      <w:proofErr w:type="spellStart"/>
      <w:r w:rsidRPr="00A243B9">
        <w:t>ed</w:t>
      </w:r>
      <w:proofErr w:type="spellEnd"/>
      <w:r w:rsidRPr="00A243B9">
        <w:t xml:space="preserve">). Lisboa: </w:t>
      </w:r>
      <w:proofErr w:type="spellStart"/>
      <w:r w:rsidRPr="00A243B9">
        <w:t>Sílabo</w:t>
      </w:r>
      <w:proofErr w:type="spellEnd"/>
      <w:r w:rsidRPr="00A243B9">
        <w:t>.</w:t>
      </w:r>
    </w:p>
    <w:p w14:paraId="5625599A" w14:textId="71EB5810" w:rsidR="00273183" w:rsidRDefault="00273183" w:rsidP="00BD3A13">
      <w:pPr>
        <w:spacing w:line="240" w:lineRule="auto"/>
        <w:ind w:leftChars="0" w:left="0" w:firstLineChars="0" w:firstLine="0"/>
        <w:jc w:val="both"/>
      </w:pPr>
    </w:p>
    <w:p w14:paraId="1D79820A" w14:textId="234DD4D2" w:rsidR="0008541F" w:rsidRDefault="00E179BF" w:rsidP="00BD3A13">
      <w:pPr>
        <w:spacing w:line="240" w:lineRule="auto"/>
        <w:ind w:leftChars="0" w:left="0" w:firstLineChars="0" w:firstLine="0"/>
        <w:jc w:val="both"/>
      </w:pPr>
      <w:r>
        <w:t xml:space="preserve">Ribeiro, M. B. C., &amp; Dias, G. F. (2018). Análise das vantagens competitivas dos Portos do Arco Norte. </w:t>
      </w:r>
      <w:r w:rsidRPr="00F4244B">
        <w:rPr>
          <w:rStyle w:val="nfase"/>
        </w:rPr>
        <w:t>Revista Paranaense de Desenvolvimento</w:t>
      </w:r>
      <w:r>
        <w:t>, (134), 13-28.</w:t>
      </w:r>
    </w:p>
    <w:p w14:paraId="7BEA415F" w14:textId="77777777" w:rsidR="00E179BF" w:rsidRPr="00A243B9" w:rsidRDefault="00E179BF" w:rsidP="00BD3A13">
      <w:pPr>
        <w:spacing w:line="240" w:lineRule="auto"/>
        <w:ind w:leftChars="0" w:left="0" w:firstLineChars="0" w:firstLine="0"/>
        <w:jc w:val="both"/>
      </w:pPr>
    </w:p>
    <w:p w14:paraId="04EEFA7B" w14:textId="7AB4FAF3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Saaty, T. L. (1991). </w:t>
      </w:r>
      <w:r w:rsidRPr="00F4244B">
        <w:rPr>
          <w:i/>
        </w:rPr>
        <w:t>Método de análise hierárquica</w:t>
      </w:r>
      <w:r w:rsidRPr="00A243B9">
        <w:t>. São Paulo: McGraw-Hill.</w:t>
      </w:r>
      <w:r w:rsidR="00F85DC4">
        <w:t xml:space="preserve"> 342 p.</w:t>
      </w:r>
    </w:p>
    <w:p w14:paraId="48CACFD4" w14:textId="77777777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</w:p>
    <w:p w14:paraId="5F0BFC53" w14:textId="47F6A71F" w:rsidR="0008541F" w:rsidRDefault="0008541F" w:rsidP="00BD3A13">
      <w:pPr>
        <w:spacing w:line="240" w:lineRule="auto"/>
        <w:ind w:leftChars="0" w:left="0" w:firstLineChars="0" w:firstLine="0"/>
        <w:jc w:val="both"/>
      </w:pPr>
      <w:proofErr w:type="spellStart"/>
      <w:r w:rsidRPr="00956810">
        <w:rPr>
          <w:lang w:val="en-US"/>
        </w:rPr>
        <w:t>Saaty</w:t>
      </w:r>
      <w:proofErr w:type="spellEnd"/>
      <w:r w:rsidRPr="00956810">
        <w:rPr>
          <w:lang w:val="en-US"/>
        </w:rPr>
        <w:t xml:space="preserve">, T. L. (2008). </w:t>
      </w:r>
      <w:r w:rsidRPr="00A243B9">
        <w:rPr>
          <w:lang w:val="en-US"/>
        </w:rPr>
        <w:t xml:space="preserve">Decision making with the analytic hierarchy process. </w:t>
      </w:r>
      <w:r w:rsidRPr="00A243B9">
        <w:t xml:space="preserve">Int. J. </w:t>
      </w:r>
      <w:r w:rsidRPr="00F4244B">
        <w:rPr>
          <w:i/>
        </w:rPr>
        <w:t xml:space="preserve">Services </w:t>
      </w:r>
      <w:proofErr w:type="spellStart"/>
      <w:r w:rsidRPr="00F4244B">
        <w:rPr>
          <w:i/>
        </w:rPr>
        <w:t>Sciences</w:t>
      </w:r>
      <w:proofErr w:type="spellEnd"/>
      <w:r w:rsidRPr="00A243B9">
        <w:t>, 1 (1), 83-98.</w:t>
      </w:r>
    </w:p>
    <w:p w14:paraId="5C763616" w14:textId="3E05E46D" w:rsidR="00E179BF" w:rsidRDefault="00E179BF" w:rsidP="00BD3A13">
      <w:pPr>
        <w:spacing w:line="240" w:lineRule="auto"/>
        <w:ind w:leftChars="0" w:left="0" w:firstLineChars="0" w:firstLine="0"/>
        <w:jc w:val="both"/>
      </w:pPr>
    </w:p>
    <w:p w14:paraId="6F08B7A8" w14:textId="3C78D850" w:rsidR="0008541F" w:rsidRPr="00B538CE" w:rsidRDefault="00E179BF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  <w:r>
        <w:t xml:space="preserve">Santos, R. S., &amp; Sousa, M. A. (2021). Gestão socioambiental no Porto de Santana: uma análise a partir da percepção dos </w:t>
      </w:r>
      <w:r w:rsidRPr="00E179BF">
        <w:rPr>
          <w:i/>
        </w:rPr>
        <w:t>stakeholders</w:t>
      </w:r>
      <w:r>
        <w:t xml:space="preserve">. </w:t>
      </w:r>
      <w:r w:rsidRPr="00F4244B">
        <w:rPr>
          <w:rStyle w:val="nfase"/>
          <w:lang w:val="en-US"/>
        </w:rPr>
        <w:t>Journal of Environmental Analysis and Progress</w:t>
      </w:r>
      <w:r w:rsidRPr="00B538CE">
        <w:rPr>
          <w:lang w:val="en-US"/>
        </w:rPr>
        <w:t>, 6(2), 76-88.</w:t>
      </w:r>
    </w:p>
    <w:p w14:paraId="030F45C4" w14:textId="77777777" w:rsidR="00E179BF" w:rsidRPr="00B538CE" w:rsidRDefault="00E179BF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</w:p>
    <w:p w14:paraId="69DBEC78" w14:textId="755EFD87" w:rsidR="0008541F" w:rsidRDefault="0008541F" w:rsidP="00BD3A13">
      <w:pPr>
        <w:spacing w:line="240" w:lineRule="auto"/>
        <w:ind w:leftChars="0" w:left="0" w:firstLineChars="0" w:firstLine="0"/>
        <w:jc w:val="both"/>
      </w:pPr>
      <w:r w:rsidRPr="00B538CE">
        <w:rPr>
          <w:lang w:val="en-US"/>
        </w:rPr>
        <w:t xml:space="preserve">Santos, L. F., &amp; Cruz, R. B. C. (2013). </w:t>
      </w:r>
      <w:r w:rsidRPr="00A243B9">
        <w:t xml:space="preserve">O Uso do Método AHP na Tomada de Decisão para Seleção de Sistemas de Lajes de Edifícios Comerciais. </w:t>
      </w:r>
      <w:r w:rsidRPr="00F4244B">
        <w:rPr>
          <w:i/>
        </w:rPr>
        <w:t>Engenharia Estudo e Pesquisa</w:t>
      </w:r>
      <w:r w:rsidRPr="00A243B9">
        <w:t>, 13</w:t>
      </w:r>
      <w:r w:rsidR="00A13B63" w:rsidRPr="00A243B9">
        <w:t xml:space="preserve"> </w:t>
      </w:r>
      <w:r w:rsidRPr="00A243B9">
        <w:t>(1), 39-52.</w:t>
      </w:r>
    </w:p>
    <w:p w14:paraId="583123A5" w14:textId="77777777" w:rsidR="00AB7FC4" w:rsidRDefault="00AB7FC4" w:rsidP="00BD3A13">
      <w:pPr>
        <w:spacing w:line="240" w:lineRule="auto"/>
        <w:ind w:leftChars="0" w:left="0" w:firstLineChars="0" w:firstLine="0"/>
        <w:jc w:val="both"/>
      </w:pPr>
    </w:p>
    <w:p w14:paraId="350B9C26" w14:textId="05B47779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  <w:r w:rsidRPr="00A243B9">
        <w:t xml:space="preserve">Souza, A. D. C., Rodrigues, D. B., Oliveira, L. F., &amp; Nascimento, R. F. G. (2020). Diagnóstico da gestão ambiental do Porto de Santana/AP. </w:t>
      </w:r>
      <w:r w:rsidRPr="00F4244B">
        <w:rPr>
          <w:i/>
        </w:rPr>
        <w:t>Revista de Administração da UFSM</w:t>
      </w:r>
      <w:r w:rsidRPr="00A243B9">
        <w:t>, 13 (2), 385-401.</w:t>
      </w:r>
    </w:p>
    <w:p w14:paraId="775822DD" w14:textId="77777777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</w:p>
    <w:p w14:paraId="19722E81" w14:textId="0B3E642F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  <w:r w:rsidRPr="00A243B9">
        <w:lastRenderedPageBreak/>
        <w:t xml:space="preserve">Tobias, M. G. S., Moraes, H. B., &amp; Figueiredo, N. (2019). </w:t>
      </w:r>
      <w:r w:rsidRPr="00A243B9">
        <w:rPr>
          <w:lang w:val="en-US"/>
        </w:rPr>
        <w:t xml:space="preserve">The role of ports in Amazonia cities for sustainable urban development: The case of Belem - Brazil. </w:t>
      </w:r>
      <w:r w:rsidRPr="00F4244B">
        <w:rPr>
          <w:i/>
        </w:rPr>
        <w:t xml:space="preserve">WIT </w:t>
      </w:r>
      <w:proofErr w:type="spellStart"/>
      <w:r w:rsidRPr="00F4244B">
        <w:rPr>
          <w:i/>
        </w:rPr>
        <w:t>transactions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on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the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built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environment</w:t>
      </w:r>
      <w:proofErr w:type="spellEnd"/>
      <w:r w:rsidRPr="00F4244B">
        <w:rPr>
          <w:i/>
        </w:rPr>
        <w:t xml:space="preserve"> (online)</w:t>
      </w:r>
      <w:r w:rsidRPr="00A243B9">
        <w:t>, 188, 11-21.</w:t>
      </w:r>
    </w:p>
    <w:p w14:paraId="73962820" w14:textId="77777777" w:rsidR="0008541F" w:rsidRPr="00A243B9" w:rsidRDefault="0008541F" w:rsidP="00BD3A13">
      <w:pPr>
        <w:spacing w:line="240" w:lineRule="auto"/>
        <w:ind w:leftChars="0" w:left="0" w:firstLineChars="0" w:firstLine="0"/>
        <w:jc w:val="both"/>
      </w:pPr>
    </w:p>
    <w:p w14:paraId="4C6ED664" w14:textId="628E57A6" w:rsidR="0008541F" w:rsidRPr="00A243B9" w:rsidRDefault="0008541F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  <w:r w:rsidRPr="00A243B9">
        <w:t>Vargas, R. (2010). Utilizando a programação multicritério (</w:t>
      </w:r>
      <w:proofErr w:type="spellStart"/>
      <w:r w:rsidRPr="00A243B9">
        <w:t>Analytic</w:t>
      </w:r>
      <w:proofErr w:type="spellEnd"/>
      <w:r w:rsidRPr="00A243B9">
        <w:t xml:space="preserve"> </w:t>
      </w:r>
      <w:proofErr w:type="spellStart"/>
      <w:r w:rsidRPr="00A243B9">
        <w:t>Hierarchy</w:t>
      </w:r>
      <w:proofErr w:type="spellEnd"/>
      <w:r w:rsidRPr="00A243B9">
        <w:t xml:space="preserve"> </w:t>
      </w:r>
      <w:proofErr w:type="spellStart"/>
      <w:r w:rsidRPr="00A243B9">
        <w:t>Process</w:t>
      </w:r>
      <w:proofErr w:type="spellEnd"/>
      <w:r w:rsidRPr="00A243B9">
        <w:t xml:space="preserve"> – AHP) para selecionar e priorizar projetos na gestão de portfólio. </w:t>
      </w:r>
      <w:proofErr w:type="spellStart"/>
      <w:r w:rsidRPr="00F4244B">
        <w:rPr>
          <w:i/>
          <w:lang w:val="en-US"/>
        </w:rPr>
        <w:t>Em</w:t>
      </w:r>
      <w:proofErr w:type="spellEnd"/>
      <w:r w:rsidRPr="00F4244B">
        <w:rPr>
          <w:i/>
          <w:lang w:val="en-US"/>
        </w:rPr>
        <w:t xml:space="preserve"> PMI Global Congress, North America</w:t>
      </w:r>
      <w:r w:rsidRPr="00A243B9">
        <w:rPr>
          <w:lang w:val="en-US"/>
        </w:rPr>
        <w:t>, Washington–DC – EUA.</w:t>
      </w:r>
    </w:p>
    <w:p w14:paraId="09C5573F" w14:textId="77777777" w:rsidR="0008541F" w:rsidRPr="00A243B9" w:rsidRDefault="0008541F" w:rsidP="00BD3A13">
      <w:pPr>
        <w:spacing w:line="240" w:lineRule="auto"/>
        <w:ind w:leftChars="0" w:left="0" w:firstLineChars="0" w:firstLine="0"/>
        <w:jc w:val="both"/>
        <w:rPr>
          <w:lang w:val="en-US"/>
        </w:rPr>
      </w:pPr>
    </w:p>
    <w:p w14:paraId="286B6024" w14:textId="6B9921C3" w:rsidR="00002B49" w:rsidRDefault="0008541F" w:rsidP="00BD3A13">
      <w:pPr>
        <w:spacing w:line="240" w:lineRule="auto"/>
        <w:ind w:leftChars="0" w:left="0" w:firstLineChars="0" w:firstLine="0"/>
        <w:jc w:val="both"/>
      </w:pPr>
      <w:proofErr w:type="spellStart"/>
      <w:r w:rsidRPr="00A243B9">
        <w:rPr>
          <w:lang w:val="en-US"/>
        </w:rPr>
        <w:t>Yurdakul</w:t>
      </w:r>
      <w:proofErr w:type="spellEnd"/>
      <w:r w:rsidRPr="00A243B9">
        <w:rPr>
          <w:lang w:val="en-US"/>
        </w:rPr>
        <w:t>, M., &amp; IÇ, Y. T. (2004). AHP approach in the credit evaluation of the manufacturing firms in Turkey</w:t>
      </w:r>
      <w:r w:rsidRPr="00A243B9">
        <w:rPr>
          <w:b/>
          <w:lang w:val="en-US"/>
        </w:rPr>
        <w:t xml:space="preserve">. </w:t>
      </w:r>
      <w:proofErr w:type="spellStart"/>
      <w:r w:rsidRPr="00F4244B">
        <w:rPr>
          <w:i/>
        </w:rPr>
        <w:t>International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Journal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of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Production</w:t>
      </w:r>
      <w:proofErr w:type="spellEnd"/>
      <w:r w:rsidRPr="00F4244B">
        <w:rPr>
          <w:i/>
        </w:rPr>
        <w:t xml:space="preserve"> </w:t>
      </w:r>
      <w:proofErr w:type="spellStart"/>
      <w:r w:rsidRPr="00F4244B">
        <w:rPr>
          <w:i/>
        </w:rPr>
        <w:t>Economics</w:t>
      </w:r>
      <w:proofErr w:type="spellEnd"/>
      <w:r w:rsidRPr="00A243B9">
        <w:t>, 88 (3), 269-289.</w:t>
      </w:r>
    </w:p>
    <w:p w14:paraId="44B4F743" w14:textId="77777777" w:rsidR="00002B49" w:rsidRDefault="00002B49" w:rsidP="00BD3A13">
      <w:pPr>
        <w:spacing w:line="240" w:lineRule="auto"/>
        <w:ind w:leftChars="0" w:left="0" w:firstLineChars="0" w:firstLine="0"/>
        <w:jc w:val="both"/>
      </w:pPr>
    </w:p>
    <w:p w14:paraId="5DD80504" w14:textId="77777777" w:rsidR="00002B49" w:rsidRPr="00A243B9" w:rsidRDefault="00002B49" w:rsidP="00BD3A13">
      <w:pPr>
        <w:spacing w:line="240" w:lineRule="auto"/>
        <w:ind w:leftChars="0" w:left="0" w:firstLineChars="0" w:firstLine="0"/>
        <w:jc w:val="both"/>
      </w:pPr>
    </w:p>
    <w:sectPr w:rsidR="00002B49" w:rsidRPr="00A243B9" w:rsidSect="007C66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418" w:right="1418" w:bottom="1418" w:left="1418" w:header="567" w:footer="567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20C531" w16cex:dateUtc="2024-07-10T11:30:00Z"/>
  <w16cex:commentExtensible w16cex:durableId="3BB37E1E" w16cex:dateUtc="2024-07-10T11:32:00Z"/>
  <w16cex:commentExtensible w16cex:durableId="2FD19DC2" w16cex:dateUtc="2024-07-10T10:19:00Z"/>
  <w16cex:commentExtensible w16cex:durableId="49F6A8B5" w16cex:dateUtc="2024-07-10T10:20:00Z"/>
  <w16cex:commentExtensible w16cex:durableId="119F1665" w16cex:dateUtc="2024-07-10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ABCED8" w16cid:durableId="1D20C531"/>
  <w16cid:commentId w16cid:paraId="5E051181" w16cid:durableId="3BB37E1E"/>
  <w16cid:commentId w16cid:paraId="4D037867" w16cid:durableId="2FD19DC2"/>
  <w16cid:commentId w16cid:paraId="3B559837" w16cid:durableId="49F6A8B5"/>
  <w16cid:commentId w16cid:paraId="73FCE197" w16cid:durableId="119F16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57066" w14:textId="77777777" w:rsidR="0021336D" w:rsidRDefault="0021336D">
      <w:pPr>
        <w:spacing w:line="240" w:lineRule="auto"/>
        <w:ind w:left="0" w:hanging="2"/>
      </w:pPr>
      <w:r>
        <w:separator/>
      </w:r>
    </w:p>
  </w:endnote>
  <w:endnote w:type="continuationSeparator" w:id="0">
    <w:p w14:paraId="6D887743" w14:textId="77777777" w:rsidR="0021336D" w:rsidRDefault="002133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5C9" w14:textId="77777777" w:rsidR="00F4244B" w:rsidRDefault="00F42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5CA" w14:textId="77777777" w:rsidR="00F4244B" w:rsidRDefault="00F42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5D4" w14:textId="77777777" w:rsidR="00F4244B" w:rsidRDefault="00F42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FD20" w14:textId="77777777" w:rsidR="0021336D" w:rsidRDefault="002133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41DB728" w14:textId="77777777" w:rsidR="0021336D" w:rsidRDefault="002133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5C7" w14:textId="77777777" w:rsidR="00F4244B" w:rsidRDefault="00F42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5C8" w14:textId="77777777" w:rsidR="00F4244B" w:rsidRDefault="00F424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5CB" w14:textId="77777777" w:rsidR="00F4244B" w:rsidRDefault="00F4244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p w14:paraId="074245D3" w14:textId="77777777" w:rsidR="00F4244B" w:rsidRDefault="00F42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8FB"/>
    <w:multiLevelType w:val="hybridMultilevel"/>
    <w:tmpl w:val="E174E346"/>
    <w:lvl w:ilvl="0" w:tplc="DC86AD7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62E"/>
    <w:multiLevelType w:val="hybridMultilevel"/>
    <w:tmpl w:val="8A2A08D4"/>
    <w:lvl w:ilvl="0" w:tplc="0416000F">
      <w:start w:val="1"/>
      <w:numFmt w:val="decimal"/>
      <w:lvlText w:val="%1."/>
      <w:lvlJc w:val="left"/>
      <w:pPr>
        <w:ind w:left="7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08AB2C21"/>
    <w:multiLevelType w:val="hybridMultilevel"/>
    <w:tmpl w:val="6D12B05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35F"/>
    <w:multiLevelType w:val="hybridMultilevel"/>
    <w:tmpl w:val="91E8E0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60BE"/>
    <w:multiLevelType w:val="hybridMultilevel"/>
    <w:tmpl w:val="341C9850"/>
    <w:lvl w:ilvl="0" w:tplc="7332A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25D"/>
    <w:multiLevelType w:val="hybridMultilevel"/>
    <w:tmpl w:val="3C224180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14635FF4"/>
    <w:multiLevelType w:val="multilevel"/>
    <w:tmpl w:val="D7767ACA"/>
    <w:lvl w:ilvl="0">
      <w:start w:val="1"/>
      <w:numFmt w:val="lowerRoman"/>
      <w:lvlText w:val="%1."/>
      <w:lvlJc w:val="right"/>
      <w:pPr>
        <w:ind w:left="1090" w:hanging="18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3390158"/>
    <w:multiLevelType w:val="hybridMultilevel"/>
    <w:tmpl w:val="DC147ABE"/>
    <w:lvl w:ilvl="0" w:tplc="6F9880A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F9880A8">
      <w:start w:val="1"/>
      <w:numFmt w:val="bullet"/>
      <w:lvlText w:val="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391248E"/>
    <w:multiLevelType w:val="hybridMultilevel"/>
    <w:tmpl w:val="88B29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4ACD"/>
    <w:multiLevelType w:val="hybridMultilevel"/>
    <w:tmpl w:val="75B8B240"/>
    <w:lvl w:ilvl="0" w:tplc="08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31FB184B"/>
    <w:multiLevelType w:val="hybridMultilevel"/>
    <w:tmpl w:val="A726F226"/>
    <w:lvl w:ilvl="0" w:tplc="6F9880A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F9880A8">
      <w:start w:val="1"/>
      <w:numFmt w:val="bullet"/>
      <w:lvlText w:val="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3E75AE4"/>
    <w:multiLevelType w:val="hybridMultilevel"/>
    <w:tmpl w:val="32A2C774"/>
    <w:lvl w:ilvl="0" w:tplc="7332A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E49D7"/>
    <w:multiLevelType w:val="hybridMultilevel"/>
    <w:tmpl w:val="0BAC3638"/>
    <w:lvl w:ilvl="0" w:tplc="7332A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2323"/>
    <w:multiLevelType w:val="hybridMultilevel"/>
    <w:tmpl w:val="86B8D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23F39"/>
    <w:multiLevelType w:val="hybridMultilevel"/>
    <w:tmpl w:val="46B64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4AF6"/>
    <w:multiLevelType w:val="hybridMultilevel"/>
    <w:tmpl w:val="BC7EC75E"/>
    <w:lvl w:ilvl="0" w:tplc="5E1CC47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4A7D6580"/>
    <w:multiLevelType w:val="hybridMultilevel"/>
    <w:tmpl w:val="1C5E8372"/>
    <w:lvl w:ilvl="0" w:tplc="0416000F">
      <w:start w:val="1"/>
      <w:numFmt w:val="decimal"/>
      <w:lvlText w:val="%1."/>
      <w:lvlJc w:val="left"/>
      <w:pPr>
        <w:ind w:left="663" w:hanging="360"/>
      </w:pPr>
    </w:lvl>
    <w:lvl w:ilvl="1" w:tplc="04160019" w:tentative="1">
      <w:start w:val="1"/>
      <w:numFmt w:val="lowerLetter"/>
      <w:lvlText w:val="%2."/>
      <w:lvlJc w:val="left"/>
      <w:pPr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4C661FA8"/>
    <w:multiLevelType w:val="hybridMultilevel"/>
    <w:tmpl w:val="137E1B2A"/>
    <w:lvl w:ilvl="0" w:tplc="0816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4EC64B99"/>
    <w:multiLevelType w:val="hybridMultilevel"/>
    <w:tmpl w:val="94F05364"/>
    <w:lvl w:ilvl="0" w:tplc="6F988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880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A145B"/>
    <w:multiLevelType w:val="hybridMultilevel"/>
    <w:tmpl w:val="2EF84E22"/>
    <w:lvl w:ilvl="0" w:tplc="00FE771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6243C7D"/>
    <w:multiLevelType w:val="hybridMultilevel"/>
    <w:tmpl w:val="A416629C"/>
    <w:lvl w:ilvl="0" w:tplc="4360284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69E67616"/>
    <w:multiLevelType w:val="hybridMultilevel"/>
    <w:tmpl w:val="046E5172"/>
    <w:lvl w:ilvl="0" w:tplc="6F9880A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6E1D304F"/>
    <w:multiLevelType w:val="hybridMultilevel"/>
    <w:tmpl w:val="1F8EF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7017D"/>
    <w:multiLevelType w:val="hybridMultilevel"/>
    <w:tmpl w:val="86B8D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27DA4"/>
    <w:multiLevelType w:val="hybridMultilevel"/>
    <w:tmpl w:val="88B29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6687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2834D4"/>
    <w:multiLevelType w:val="hybridMultilevel"/>
    <w:tmpl w:val="CCF8F6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22"/>
  </w:num>
  <w:num w:numId="5">
    <w:abstractNumId w:val="24"/>
  </w:num>
  <w:num w:numId="6">
    <w:abstractNumId w:val="20"/>
  </w:num>
  <w:num w:numId="7">
    <w:abstractNumId w:val="15"/>
  </w:num>
  <w:num w:numId="8">
    <w:abstractNumId w:val="8"/>
  </w:num>
  <w:num w:numId="9">
    <w:abstractNumId w:val="1"/>
  </w:num>
  <w:num w:numId="10">
    <w:abstractNumId w:val="9"/>
  </w:num>
  <w:num w:numId="11">
    <w:abstractNumId w:val="21"/>
  </w:num>
  <w:num w:numId="12">
    <w:abstractNumId w:val="18"/>
  </w:num>
  <w:num w:numId="13">
    <w:abstractNumId w:val="5"/>
  </w:num>
  <w:num w:numId="14">
    <w:abstractNumId w:val="10"/>
  </w:num>
  <w:num w:numId="15">
    <w:abstractNumId w:val="7"/>
  </w:num>
  <w:num w:numId="16">
    <w:abstractNumId w:val="17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19"/>
  </w:num>
  <w:num w:numId="22">
    <w:abstractNumId w:val="2"/>
  </w:num>
  <w:num w:numId="23">
    <w:abstractNumId w:val="23"/>
  </w:num>
  <w:num w:numId="24">
    <w:abstractNumId w:val="14"/>
  </w:num>
  <w:num w:numId="25">
    <w:abstractNumId w:val="4"/>
  </w:num>
  <w:num w:numId="26">
    <w:abstractNumId w:val="12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71"/>
    <w:rsid w:val="000008A6"/>
    <w:rsid w:val="00002B49"/>
    <w:rsid w:val="000046D3"/>
    <w:rsid w:val="0000651C"/>
    <w:rsid w:val="00007F7D"/>
    <w:rsid w:val="00010298"/>
    <w:rsid w:val="00012FF9"/>
    <w:rsid w:val="00013325"/>
    <w:rsid w:val="000134BD"/>
    <w:rsid w:val="00015053"/>
    <w:rsid w:val="00015C29"/>
    <w:rsid w:val="00017110"/>
    <w:rsid w:val="000404B5"/>
    <w:rsid w:val="00053AB7"/>
    <w:rsid w:val="00067281"/>
    <w:rsid w:val="00067662"/>
    <w:rsid w:val="00073E56"/>
    <w:rsid w:val="00073E99"/>
    <w:rsid w:val="00081C36"/>
    <w:rsid w:val="00081D82"/>
    <w:rsid w:val="00082B70"/>
    <w:rsid w:val="0008541F"/>
    <w:rsid w:val="00091870"/>
    <w:rsid w:val="000A1489"/>
    <w:rsid w:val="000A3F04"/>
    <w:rsid w:val="000A49F8"/>
    <w:rsid w:val="000A7308"/>
    <w:rsid w:val="000A7BBD"/>
    <w:rsid w:val="000B1C4D"/>
    <w:rsid w:val="000C1060"/>
    <w:rsid w:val="000C789D"/>
    <w:rsid w:val="000D2E99"/>
    <w:rsid w:val="000D38F2"/>
    <w:rsid w:val="000D5D4F"/>
    <w:rsid w:val="000D7D7D"/>
    <w:rsid w:val="000F42A1"/>
    <w:rsid w:val="00104022"/>
    <w:rsid w:val="00110659"/>
    <w:rsid w:val="00112A2B"/>
    <w:rsid w:val="00116AD7"/>
    <w:rsid w:val="00120DE6"/>
    <w:rsid w:val="0012187D"/>
    <w:rsid w:val="00126C4F"/>
    <w:rsid w:val="001270F2"/>
    <w:rsid w:val="00130A0D"/>
    <w:rsid w:val="00131784"/>
    <w:rsid w:val="001456FA"/>
    <w:rsid w:val="00152B8D"/>
    <w:rsid w:val="001569BE"/>
    <w:rsid w:val="00184569"/>
    <w:rsid w:val="00185013"/>
    <w:rsid w:val="00191D3E"/>
    <w:rsid w:val="00194FC6"/>
    <w:rsid w:val="001A7074"/>
    <w:rsid w:val="001B024B"/>
    <w:rsid w:val="001B2451"/>
    <w:rsid w:val="001B3785"/>
    <w:rsid w:val="001C6973"/>
    <w:rsid w:val="001D089C"/>
    <w:rsid w:val="001E058E"/>
    <w:rsid w:val="001E1419"/>
    <w:rsid w:val="001E23B1"/>
    <w:rsid w:val="001E4683"/>
    <w:rsid w:val="001E5081"/>
    <w:rsid w:val="001F28D1"/>
    <w:rsid w:val="001F4F01"/>
    <w:rsid w:val="0020230B"/>
    <w:rsid w:val="00203404"/>
    <w:rsid w:val="00204BB5"/>
    <w:rsid w:val="0021336D"/>
    <w:rsid w:val="00213D6E"/>
    <w:rsid w:val="00214F8D"/>
    <w:rsid w:val="00221CE6"/>
    <w:rsid w:val="00225BCD"/>
    <w:rsid w:val="00226AE6"/>
    <w:rsid w:val="00227C3C"/>
    <w:rsid w:val="00231934"/>
    <w:rsid w:val="002323D1"/>
    <w:rsid w:val="002363F8"/>
    <w:rsid w:val="0023695B"/>
    <w:rsid w:val="0023773C"/>
    <w:rsid w:val="002412BE"/>
    <w:rsid w:val="00246274"/>
    <w:rsid w:val="002468FF"/>
    <w:rsid w:val="00247DB4"/>
    <w:rsid w:val="002551A2"/>
    <w:rsid w:val="00256F78"/>
    <w:rsid w:val="00273183"/>
    <w:rsid w:val="0027765C"/>
    <w:rsid w:val="002823E8"/>
    <w:rsid w:val="0028552D"/>
    <w:rsid w:val="00296777"/>
    <w:rsid w:val="002A4682"/>
    <w:rsid w:val="002A64FB"/>
    <w:rsid w:val="002A67EB"/>
    <w:rsid w:val="002B13BB"/>
    <w:rsid w:val="002B2408"/>
    <w:rsid w:val="002B442B"/>
    <w:rsid w:val="002B4BDC"/>
    <w:rsid w:val="002C7FAF"/>
    <w:rsid w:val="002D1895"/>
    <w:rsid w:val="002D459C"/>
    <w:rsid w:val="002D79E3"/>
    <w:rsid w:val="002E1220"/>
    <w:rsid w:val="002F0448"/>
    <w:rsid w:val="002F1A11"/>
    <w:rsid w:val="002F364B"/>
    <w:rsid w:val="00307379"/>
    <w:rsid w:val="00307911"/>
    <w:rsid w:val="00316D57"/>
    <w:rsid w:val="0032123C"/>
    <w:rsid w:val="003239A3"/>
    <w:rsid w:val="00332E91"/>
    <w:rsid w:val="00334F38"/>
    <w:rsid w:val="00340C4F"/>
    <w:rsid w:val="003416EF"/>
    <w:rsid w:val="003435E8"/>
    <w:rsid w:val="00355D25"/>
    <w:rsid w:val="00355FE6"/>
    <w:rsid w:val="00357370"/>
    <w:rsid w:val="00363665"/>
    <w:rsid w:val="003671AB"/>
    <w:rsid w:val="00370C90"/>
    <w:rsid w:val="00372F3C"/>
    <w:rsid w:val="003737F7"/>
    <w:rsid w:val="00376021"/>
    <w:rsid w:val="0039323A"/>
    <w:rsid w:val="00394495"/>
    <w:rsid w:val="00397AD5"/>
    <w:rsid w:val="003A602E"/>
    <w:rsid w:val="003B15E2"/>
    <w:rsid w:val="003B3C7A"/>
    <w:rsid w:val="003B6E6A"/>
    <w:rsid w:val="003B7865"/>
    <w:rsid w:val="003C3737"/>
    <w:rsid w:val="003E4494"/>
    <w:rsid w:val="003E57FF"/>
    <w:rsid w:val="00402671"/>
    <w:rsid w:val="004026B2"/>
    <w:rsid w:val="004108F1"/>
    <w:rsid w:val="004125D3"/>
    <w:rsid w:val="00415E49"/>
    <w:rsid w:val="00420206"/>
    <w:rsid w:val="00424229"/>
    <w:rsid w:val="00430BE4"/>
    <w:rsid w:val="00433ED4"/>
    <w:rsid w:val="00434CA3"/>
    <w:rsid w:val="00436B7B"/>
    <w:rsid w:val="00437CC3"/>
    <w:rsid w:val="004471DC"/>
    <w:rsid w:val="00465330"/>
    <w:rsid w:val="004661B5"/>
    <w:rsid w:val="00467228"/>
    <w:rsid w:val="00475961"/>
    <w:rsid w:val="0048523E"/>
    <w:rsid w:val="004907D3"/>
    <w:rsid w:val="00492590"/>
    <w:rsid w:val="00497236"/>
    <w:rsid w:val="0049754F"/>
    <w:rsid w:val="004B15F1"/>
    <w:rsid w:val="004C5BF6"/>
    <w:rsid w:val="004C769B"/>
    <w:rsid w:val="004D0670"/>
    <w:rsid w:val="004D0DAC"/>
    <w:rsid w:val="004D4563"/>
    <w:rsid w:val="004D7AFE"/>
    <w:rsid w:val="004E3F09"/>
    <w:rsid w:val="004E751C"/>
    <w:rsid w:val="004E7ECB"/>
    <w:rsid w:val="004F592C"/>
    <w:rsid w:val="00502CEC"/>
    <w:rsid w:val="00511403"/>
    <w:rsid w:val="0051298F"/>
    <w:rsid w:val="005164F3"/>
    <w:rsid w:val="005171CD"/>
    <w:rsid w:val="005177BF"/>
    <w:rsid w:val="00517BB8"/>
    <w:rsid w:val="00517EE0"/>
    <w:rsid w:val="00527D76"/>
    <w:rsid w:val="005308AF"/>
    <w:rsid w:val="005316BC"/>
    <w:rsid w:val="00533C76"/>
    <w:rsid w:val="005340FC"/>
    <w:rsid w:val="00545751"/>
    <w:rsid w:val="00553EBC"/>
    <w:rsid w:val="00574A66"/>
    <w:rsid w:val="00575E93"/>
    <w:rsid w:val="00590505"/>
    <w:rsid w:val="00592D02"/>
    <w:rsid w:val="005A02C0"/>
    <w:rsid w:val="005A04D4"/>
    <w:rsid w:val="005A0713"/>
    <w:rsid w:val="005A6C71"/>
    <w:rsid w:val="005C070B"/>
    <w:rsid w:val="005C440F"/>
    <w:rsid w:val="005C65DE"/>
    <w:rsid w:val="005D0A73"/>
    <w:rsid w:val="005D6242"/>
    <w:rsid w:val="005E0E3C"/>
    <w:rsid w:val="005E0EEE"/>
    <w:rsid w:val="005E27F9"/>
    <w:rsid w:val="00606B3D"/>
    <w:rsid w:val="00611B00"/>
    <w:rsid w:val="00613135"/>
    <w:rsid w:val="00621B6F"/>
    <w:rsid w:val="00621E17"/>
    <w:rsid w:val="00622DD4"/>
    <w:rsid w:val="0063214C"/>
    <w:rsid w:val="00633E17"/>
    <w:rsid w:val="00640753"/>
    <w:rsid w:val="00644799"/>
    <w:rsid w:val="00647BA0"/>
    <w:rsid w:val="0065102C"/>
    <w:rsid w:val="00654891"/>
    <w:rsid w:val="00656D97"/>
    <w:rsid w:val="0066098C"/>
    <w:rsid w:val="00670185"/>
    <w:rsid w:val="00673C42"/>
    <w:rsid w:val="006772B7"/>
    <w:rsid w:val="0068059F"/>
    <w:rsid w:val="0068086A"/>
    <w:rsid w:val="00681223"/>
    <w:rsid w:val="00681D99"/>
    <w:rsid w:val="006831DD"/>
    <w:rsid w:val="00690CDB"/>
    <w:rsid w:val="00693130"/>
    <w:rsid w:val="006A0036"/>
    <w:rsid w:val="006A465C"/>
    <w:rsid w:val="006A6252"/>
    <w:rsid w:val="006B01A2"/>
    <w:rsid w:val="006B550E"/>
    <w:rsid w:val="006C5AE3"/>
    <w:rsid w:val="006D4F9B"/>
    <w:rsid w:val="006D5246"/>
    <w:rsid w:val="006E271C"/>
    <w:rsid w:val="006F0FBE"/>
    <w:rsid w:val="006F1545"/>
    <w:rsid w:val="006F2113"/>
    <w:rsid w:val="006F696F"/>
    <w:rsid w:val="00704E9D"/>
    <w:rsid w:val="007145DE"/>
    <w:rsid w:val="007224D2"/>
    <w:rsid w:val="0073124D"/>
    <w:rsid w:val="00733594"/>
    <w:rsid w:val="0073410D"/>
    <w:rsid w:val="00736C4F"/>
    <w:rsid w:val="00746A5B"/>
    <w:rsid w:val="00753B6F"/>
    <w:rsid w:val="00761027"/>
    <w:rsid w:val="00761728"/>
    <w:rsid w:val="00764A7F"/>
    <w:rsid w:val="0076786A"/>
    <w:rsid w:val="0077535E"/>
    <w:rsid w:val="007778A2"/>
    <w:rsid w:val="007812BC"/>
    <w:rsid w:val="00787D61"/>
    <w:rsid w:val="007914B2"/>
    <w:rsid w:val="0079356B"/>
    <w:rsid w:val="007936BC"/>
    <w:rsid w:val="00794636"/>
    <w:rsid w:val="007A04E8"/>
    <w:rsid w:val="007A0886"/>
    <w:rsid w:val="007A2D8A"/>
    <w:rsid w:val="007A3291"/>
    <w:rsid w:val="007A402C"/>
    <w:rsid w:val="007A5511"/>
    <w:rsid w:val="007B3761"/>
    <w:rsid w:val="007B48B5"/>
    <w:rsid w:val="007B627B"/>
    <w:rsid w:val="007C66F3"/>
    <w:rsid w:val="007C69C7"/>
    <w:rsid w:val="007D03AE"/>
    <w:rsid w:val="007E3D8D"/>
    <w:rsid w:val="007E62E3"/>
    <w:rsid w:val="007E7AB3"/>
    <w:rsid w:val="007F71BB"/>
    <w:rsid w:val="00802841"/>
    <w:rsid w:val="0080303C"/>
    <w:rsid w:val="00803869"/>
    <w:rsid w:val="00816465"/>
    <w:rsid w:val="00820850"/>
    <w:rsid w:val="00821F24"/>
    <w:rsid w:val="00822200"/>
    <w:rsid w:val="0082481D"/>
    <w:rsid w:val="00827B81"/>
    <w:rsid w:val="00831D7B"/>
    <w:rsid w:val="008324E2"/>
    <w:rsid w:val="008436B2"/>
    <w:rsid w:val="008443CC"/>
    <w:rsid w:val="008471DB"/>
    <w:rsid w:val="0084723A"/>
    <w:rsid w:val="00850094"/>
    <w:rsid w:val="00854E4C"/>
    <w:rsid w:val="00861228"/>
    <w:rsid w:val="00866D63"/>
    <w:rsid w:val="00871DAC"/>
    <w:rsid w:val="00877896"/>
    <w:rsid w:val="00885FCF"/>
    <w:rsid w:val="008946A2"/>
    <w:rsid w:val="008A225F"/>
    <w:rsid w:val="008A62FD"/>
    <w:rsid w:val="008A6520"/>
    <w:rsid w:val="008B1953"/>
    <w:rsid w:val="008C34FD"/>
    <w:rsid w:val="008C6B4A"/>
    <w:rsid w:val="008C7949"/>
    <w:rsid w:val="008D3565"/>
    <w:rsid w:val="008D6078"/>
    <w:rsid w:val="008E2F13"/>
    <w:rsid w:val="008E4891"/>
    <w:rsid w:val="008E62E8"/>
    <w:rsid w:val="008F4B86"/>
    <w:rsid w:val="008F5E8C"/>
    <w:rsid w:val="00904A6E"/>
    <w:rsid w:val="00906D94"/>
    <w:rsid w:val="00907AE6"/>
    <w:rsid w:val="00911DF7"/>
    <w:rsid w:val="009137D2"/>
    <w:rsid w:val="0091545A"/>
    <w:rsid w:val="0091773D"/>
    <w:rsid w:val="00917E2F"/>
    <w:rsid w:val="009225DF"/>
    <w:rsid w:val="00923C7B"/>
    <w:rsid w:val="00925C1D"/>
    <w:rsid w:val="00931E3F"/>
    <w:rsid w:val="00934057"/>
    <w:rsid w:val="00934E98"/>
    <w:rsid w:val="00937537"/>
    <w:rsid w:val="00947EE3"/>
    <w:rsid w:val="00956810"/>
    <w:rsid w:val="009637B7"/>
    <w:rsid w:val="0097258E"/>
    <w:rsid w:val="009733A0"/>
    <w:rsid w:val="009755B9"/>
    <w:rsid w:val="00976083"/>
    <w:rsid w:val="00976D70"/>
    <w:rsid w:val="00982B19"/>
    <w:rsid w:val="00983371"/>
    <w:rsid w:val="00984B5E"/>
    <w:rsid w:val="009956AD"/>
    <w:rsid w:val="00996C41"/>
    <w:rsid w:val="009A1C79"/>
    <w:rsid w:val="009B7A08"/>
    <w:rsid w:val="009C5150"/>
    <w:rsid w:val="009C5C31"/>
    <w:rsid w:val="009D27B4"/>
    <w:rsid w:val="009D3632"/>
    <w:rsid w:val="009E0005"/>
    <w:rsid w:val="009E2AA8"/>
    <w:rsid w:val="009E3650"/>
    <w:rsid w:val="009E75FF"/>
    <w:rsid w:val="009E7DC0"/>
    <w:rsid w:val="009F25E6"/>
    <w:rsid w:val="00A0258A"/>
    <w:rsid w:val="00A06676"/>
    <w:rsid w:val="00A121D4"/>
    <w:rsid w:val="00A13B63"/>
    <w:rsid w:val="00A2150D"/>
    <w:rsid w:val="00A23DBE"/>
    <w:rsid w:val="00A243B9"/>
    <w:rsid w:val="00A25357"/>
    <w:rsid w:val="00A42CCF"/>
    <w:rsid w:val="00A43F8F"/>
    <w:rsid w:val="00A525B9"/>
    <w:rsid w:val="00A64F63"/>
    <w:rsid w:val="00A674A3"/>
    <w:rsid w:val="00A676FA"/>
    <w:rsid w:val="00A722BA"/>
    <w:rsid w:val="00A7285F"/>
    <w:rsid w:val="00A753E4"/>
    <w:rsid w:val="00A8054A"/>
    <w:rsid w:val="00A81ED0"/>
    <w:rsid w:val="00A81FDE"/>
    <w:rsid w:val="00A84231"/>
    <w:rsid w:val="00A86AB8"/>
    <w:rsid w:val="00A871B0"/>
    <w:rsid w:val="00A905ED"/>
    <w:rsid w:val="00A9790B"/>
    <w:rsid w:val="00A97A85"/>
    <w:rsid w:val="00AA6503"/>
    <w:rsid w:val="00AB7FC4"/>
    <w:rsid w:val="00AC00ED"/>
    <w:rsid w:val="00AC233C"/>
    <w:rsid w:val="00AC6704"/>
    <w:rsid w:val="00AD4705"/>
    <w:rsid w:val="00AD533E"/>
    <w:rsid w:val="00AD5984"/>
    <w:rsid w:val="00AD78B1"/>
    <w:rsid w:val="00AD7F16"/>
    <w:rsid w:val="00AE0663"/>
    <w:rsid w:val="00AF4ECE"/>
    <w:rsid w:val="00AF70DF"/>
    <w:rsid w:val="00AF744D"/>
    <w:rsid w:val="00AF7818"/>
    <w:rsid w:val="00B044E4"/>
    <w:rsid w:val="00B147C4"/>
    <w:rsid w:val="00B16955"/>
    <w:rsid w:val="00B17796"/>
    <w:rsid w:val="00B221EC"/>
    <w:rsid w:val="00B22868"/>
    <w:rsid w:val="00B30036"/>
    <w:rsid w:val="00B305DD"/>
    <w:rsid w:val="00B33CAA"/>
    <w:rsid w:val="00B33F7D"/>
    <w:rsid w:val="00B3592A"/>
    <w:rsid w:val="00B41103"/>
    <w:rsid w:val="00B41433"/>
    <w:rsid w:val="00B46955"/>
    <w:rsid w:val="00B538CE"/>
    <w:rsid w:val="00B5452E"/>
    <w:rsid w:val="00B56D9B"/>
    <w:rsid w:val="00B572AD"/>
    <w:rsid w:val="00B57719"/>
    <w:rsid w:val="00B618AC"/>
    <w:rsid w:val="00B734D0"/>
    <w:rsid w:val="00B74014"/>
    <w:rsid w:val="00B746FD"/>
    <w:rsid w:val="00B83816"/>
    <w:rsid w:val="00B903A9"/>
    <w:rsid w:val="00B92D60"/>
    <w:rsid w:val="00BA0B43"/>
    <w:rsid w:val="00BA135F"/>
    <w:rsid w:val="00BA2101"/>
    <w:rsid w:val="00BA285B"/>
    <w:rsid w:val="00BA4BEB"/>
    <w:rsid w:val="00BA6FBE"/>
    <w:rsid w:val="00BB464C"/>
    <w:rsid w:val="00BB65CB"/>
    <w:rsid w:val="00BC487D"/>
    <w:rsid w:val="00BC7382"/>
    <w:rsid w:val="00BC7B04"/>
    <w:rsid w:val="00BC7B1B"/>
    <w:rsid w:val="00BD05EC"/>
    <w:rsid w:val="00BD3A13"/>
    <w:rsid w:val="00BD53DD"/>
    <w:rsid w:val="00BD705E"/>
    <w:rsid w:val="00BE00A0"/>
    <w:rsid w:val="00BE02BE"/>
    <w:rsid w:val="00BE10C5"/>
    <w:rsid w:val="00BE5716"/>
    <w:rsid w:val="00BE6DD6"/>
    <w:rsid w:val="00BF2333"/>
    <w:rsid w:val="00C0323B"/>
    <w:rsid w:val="00C06A3F"/>
    <w:rsid w:val="00C10650"/>
    <w:rsid w:val="00C11FB4"/>
    <w:rsid w:val="00C1228B"/>
    <w:rsid w:val="00C15EB7"/>
    <w:rsid w:val="00C331D1"/>
    <w:rsid w:val="00C33BCF"/>
    <w:rsid w:val="00C3485C"/>
    <w:rsid w:val="00C36921"/>
    <w:rsid w:val="00C3700F"/>
    <w:rsid w:val="00C37530"/>
    <w:rsid w:val="00C40AFC"/>
    <w:rsid w:val="00C41AE0"/>
    <w:rsid w:val="00C44322"/>
    <w:rsid w:val="00C45088"/>
    <w:rsid w:val="00C57391"/>
    <w:rsid w:val="00C617DB"/>
    <w:rsid w:val="00C6266E"/>
    <w:rsid w:val="00C649C8"/>
    <w:rsid w:val="00C70EF6"/>
    <w:rsid w:val="00C7449A"/>
    <w:rsid w:val="00C85786"/>
    <w:rsid w:val="00C92540"/>
    <w:rsid w:val="00C955D7"/>
    <w:rsid w:val="00C9684D"/>
    <w:rsid w:val="00CA6EE7"/>
    <w:rsid w:val="00CA7E0C"/>
    <w:rsid w:val="00CA7E6B"/>
    <w:rsid w:val="00CB59DA"/>
    <w:rsid w:val="00CC3798"/>
    <w:rsid w:val="00CC5BA7"/>
    <w:rsid w:val="00CC7C74"/>
    <w:rsid w:val="00CD6BB7"/>
    <w:rsid w:val="00CD71EB"/>
    <w:rsid w:val="00CE0BEE"/>
    <w:rsid w:val="00CE4AA1"/>
    <w:rsid w:val="00CE5D63"/>
    <w:rsid w:val="00CE7B86"/>
    <w:rsid w:val="00CF0395"/>
    <w:rsid w:val="00CF6B38"/>
    <w:rsid w:val="00D038EF"/>
    <w:rsid w:val="00D1227B"/>
    <w:rsid w:val="00D1527A"/>
    <w:rsid w:val="00D16710"/>
    <w:rsid w:val="00D205BE"/>
    <w:rsid w:val="00D23B4E"/>
    <w:rsid w:val="00D24619"/>
    <w:rsid w:val="00D25138"/>
    <w:rsid w:val="00D32ED3"/>
    <w:rsid w:val="00D4160D"/>
    <w:rsid w:val="00D44978"/>
    <w:rsid w:val="00D468FC"/>
    <w:rsid w:val="00D503A9"/>
    <w:rsid w:val="00D50D7D"/>
    <w:rsid w:val="00D55964"/>
    <w:rsid w:val="00D55EFE"/>
    <w:rsid w:val="00D62D93"/>
    <w:rsid w:val="00D64864"/>
    <w:rsid w:val="00D6795E"/>
    <w:rsid w:val="00D67EA7"/>
    <w:rsid w:val="00D709FC"/>
    <w:rsid w:val="00D84238"/>
    <w:rsid w:val="00D851ED"/>
    <w:rsid w:val="00D85D95"/>
    <w:rsid w:val="00D922C8"/>
    <w:rsid w:val="00D927AD"/>
    <w:rsid w:val="00D96A35"/>
    <w:rsid w:val="00DA4C0A"/>
    <w:rsid w:val="00DA5B8D"/>
    <w:rsid w:val="00DB1F62"/>
    <w:rsid w:val="00DB394A"/>
    <w:rsid w:val="00DB5434"/>
    <w:rsid w:val="00DC0A3A"/>
    <w:rsid w:val="00DC1D47"/>
    <w:rsid w:val="00DC7B9B"/>
    <w:rsid w:val="00DD38CC"/>
    <w:rsid w:val="00DD568A"/>
    <w:rsid w:val="00DE60EF"/>
    <w:rsid w:val="00DE74A6"/>
    <w:rsid w:val="00DE78B4"/>
    <w:rsid w:val="00DF1E5D"/>
    <w:rsid w:val="00DF205C"/>
    <w:rsid w:val="00DF3926"/>
    <w:rsid w:val="00DF5162"/>
    <w:rsid w:val="00DF6527"/>
    <w:rsid w:val="00E002F8"/>
    <w:rsid w:val="00E05016"/>
    <w:rsid w:val="00E1375B"/>
    <w:rsid w:val="00E179BF"/>
    <w:rsid w:val="00E24F3A"/>
    <w:rsid w:val="00E27D28"/>
    <w:rsid w:val="00E30CE6"/>
    <w:rsid w:val="00E33003"/>
    <w:rsid w:val="00E41EA8"/>
    <w:rsid w:val="00E44F01"/>
    <w:rsid w:val="00E4701E"/>
    <w:rsid w:val="00E47BAF"/>
    <w:rsid w:val="00E53B09"/>
    <w:rsid w:val="00E601E8"/>
    <w:rsid w:val="00E62B44"/>
    <w:rsid w:val="00E659EC"/>
    <w:rsid w:val="00E6665B"/>
    <w:rsid w:val="00E73D68"/>
    <w:rsid w:val="00E75626"/>
    <w:rsid w:val="00E810DC"/>
    <w:rsid w:val="00E837D4"/>
    <w:rsid w:val="00E94233"/>
    <w:rsid w:val="00EA13BB"/>
    <w:rsid w:val="00EA14F8"/>
    <w:rsid w:val="00EA1E4E"/>
    <w:rsid w:val="00EA6BCD"/>
    <w:rsid w:val="00EB1C05"/>
    <w:rsid w:val="00EB459D"/>
    <w:rsid w:val="00EB4B78"/>
    <w:rsid w:val="00EB5FD6"/>
    <w:rsid w:val="00ED16DA"/>
    <w:rsid w:val="00EE2E5F"/>
    <w:rsid w:val="00EF0E7C"/>
    <w:rsid w:val="00EF2E0E"/>
    <w:rsid w:val="00F111C8"/>
    <w:rsid w:val="00F12C81"/>
    <w:rsid w:val="00F13088"/>
    <w:rsid w:val="00F22FE0"/>
    <w:rsid w:val="00F267A2"/>
    <w:rsid w:val="00F27430"/>
    <w:rsid w:val="00F4244B"/>
    <w:rsid w:val="00F425AE"/>
    <w:rsid w:val="00F46977"/>
    <w:rsid w:val="00F50815"/>
    <w:rsid w:val="00F67596"/>
    <w:rsid w:val="00F67E02"/>
    <w:rsid w:val="00F75661"/>
    <w:rsid w:val="00F844CD"/>
    <w:rsid w:val="00F85871"/>
    <w:rsid w:val="00F85DC4"/>
    <w:rsid w:val="00F87B4E"/>
    <w:rsid w:val="00F90E88"/>
    <w:rsid w:val="00F9245E"/>
    <w:rsid w:val="00F93524"/>
    <w:rsid w:val="00F94D30"/>
    <w:rsid w:val="00F964AB"/>
    <w:rsid w:val="00F96DCE"/>
    <w:rsid w:val="00F971C9"/>
    <w:rsid w:val="00FA01E3"/>
    <w:rsid w:val="00FA2B3C"/>
    <w:rsid w:val="00FA49BE"/>
    <w:rsid w:val="00FA5F76"/>
    <w:rsid w:val="00FB0CB0"/>
    <w:rsid w:val="00FB78A2"/>
    <w:rsid w:val="00FC7944"/>
    <w:rsid w:val="00FD100D"/>
    <w:rsid w:val="00FD6A78"/>
    <w:rsid w:val="00FE2E67"/>
    <w:rsid w:val="00FE37F0"/>
    <w:rsid w:val="00FE395E"/>
    <w:rsid w:val="00FE7FB9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2452A"/>
  <w15:docId w15:val="{33C906D1-C5AE-49A1-B7C9-E1B735C7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hangingChars="1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pt-BR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BE5716"/>
  </w:style>
  <w:style w:type="character" w:customStyle="1" w:styleId="fontstyle01">
    <w:name w:val="fontstyle01"/>
    <w:basedOn w:val="Fontepargpadro"/>
    <w:rsid w:val="003C3737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C3737"/>
    <w:rPr>
      <w:rFonts w:ascii="Times New Roman" w:hAnsi="Times New Roman" w:cs="Times New Roman" w:hint="default"/>
      <w:b/>
      <w:bCs/>
      <w:i w:val="0"/>
      <w:iCs w:val="0"/>
      <w:color w:val="FFC000"/>
      <w:sz w:val="28"/>
      <w:szCs w:val="28"/>
    </w:rPr>
  </w:style>
  <w:style w:type="character" w:customStyle="1" w:styleId="y2iqfc">
    <w:name w:val="y2iqfc"/>
    <w:basedOn w:val="Fontepargpadro"/>
    <w:locked/>
    <w:rsid w:val="003C3737"/>
  </w:style>
  <w:style w:type="paragraph" w:styleId="PargrafodaLista">
    <w:name w:val="List Paragraph"/>
    <w:aliases w:val="Citação Direta"/>
    <w:basedOn w:val="Normal"/>
    <w:next w:val="Normal"/>
    <w:link w:val="PargrafodaListaChar"/>
    <w:uiPriority w:val="1"/>
    <w:qFormat/>
    <w:rsid w:val="003C3737"/>
    <w:pPr>
      <w:spacing w:after="200" w:line="276" w:lineRule="auto"/>
      <w:ind w:leftChars="0" w:left="2268" w:firstLineChars="0" w:firstLine="0"/>
      <w:contextualSpacing/>
      <w:textAlignment w:val="auto"/>
      <w:outlineLvl w:val="9"/>
    </w:pPr>
    <w:rPr>
      <w:rFonts w:eastAsiaTheme="minorHAnsi"/>
      <w:position w:val="0"/>
      <w:sz w:val="22"/>
      <w:szCs w:val="28"/>
      <w:lang w:val="en-US" w:eastAsia="en-US"/>
    </w:rPr>
  </w:style>
  <w:style w:type="character" w:customStyle="1" w:styleId="PargrafodaListaChar">
    <w:name w:val="Parágrafo da Lista Char"/>
    <w:aliases w:val="Citação Direta Char"/>
    <w:basedOn w:val="Fontepargpadro"/>
    <w:link w:val="PargrafodaLista"/>
    <w:uiPriority w:val="1"/>
    <w:rsid w:val="003C3737"/>
    <w:rPr>
      <w:rFonts w:eastAsiaTheme="minorHAnsi"/>
      <w:sz w:val="22"/>
      <w:szCs w:val="28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D38C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363F8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</w:rPr>
  </w:style>
  <w:style w:type="character" w:styleId="Hyperlink">
    <w:name w:val="Hyperlink"/>
    <w:basedOn w:val="Fontepargpadro"/>
    <w:uiPriority w:val="99"/>
    <w:unhideWhenUsed/>
    <w:rsid w:val="002363F8"/>
    <w:rPr>
      <w:color w:val="0000FF"/>
      <w:u w:val="single"/>
    </w:rPr>
  </w:style>
  <w:style w:type="paragraph" w:styleId="Reviso">
    <w:name w:val="Revision"/>
    <w:hidden/>
    <w:uiPriority w:val="99"/>
    <w:semiHidden/>
    <w:rsid w:val="00FA01E3"/>
    <w:pPr>
      <w:ind w:left="0" w:firstLine="0"/>
    </w:pPr>
    <w:rPr>
      <w:position w:val="-1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D62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D62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D6242"/>
    <w:rPr>
      <w:position w:val="-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62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6242"/>
    <w:rPr>
      <w:b/>
      <w:bCs/>
      <w:position w:val="-1"/>
      <w:sz w:val="20"/>
      <w:szCs w:val="20"/>
      <w:lang w:eastAsia="pt-BR"/>
    </w:rPr>
  </w:style>
  <w:style w:type="character" w:customStyle="1" w:styleId="LegendaChar">
    <w:name w:val="Legenda Char"/>
    <w:aliases w:val="Legenda Figuras e Tabelas Char"/>
    <w:basedOn w:val="Fontepargpadro"/>
    <w:link w:val="Legenda"/>
    <w:uiPriority w:val="35"/>
    <w:locked/>
    <w:rsid w:val="009B7A08"/>
    <w:rPr>
      <w:bCs/>
      <w:szCs w:val="20"/>
    </w:rPr>
  </w:style>
  <w:style w:type="paragraph" w:styleId="Legenda">
    <w:name w:val="caption"/>
    <w:aliases w:val="Legenda Figuras e Tabelas"/>
    <w:basedOn w:val="Normal"/>
    <w:next w:val="Normal"/>
    <w:link w:val="LegendaChar"/>
    <w:uiPriority w:val="35"/>
    <w:unhideWhenUsed/>
    <w:qFormat/>
    <w:rsid w:val="009B7A08"/>
    <w:pPr>
      <w:keepNext/>
      <w:tabs>
        <w:tab w:val="left" w:pos="1170"/>
      </w:tabs>
      <w:spacing w:before="240" w:line="276" w:lineRule="auto"/>
      <w:ind w:leftChars="0" w:left="0" w:firstLineChars="0" w:firstLine="0"/>
      <w:jc w:val="center"/>
      <w:textAlignment w:val="auto"/>
      <w:outlineLvl w:val="9"/>
    </w:pPr>
    <w:rPr>
      <w:bCs/>
      <w:position w:val="0"/>
      <w:szCs w:val="20"/>
      <w:lang w:eastAsia="pt-PT"/>
    </w:rPr>
  </w:style>
  <w:style w:type="paragraph" w:customStyle="1" w:styleId="TableParagraph">
    <w:name w:val="Table Paragraph"/>
    <w:basedOn w:val="Normal"/>
    <w:uiPriority w:val="1"/>
    <w:qFormat/>
    <w:rsid w:val="009B7A08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B7A08"/>
    <w:pPr>
      <w:widowControl w:val="0"/>
      <w:autoSpaceDE w:val="0"/>
      <w:autoSpaceDN w:val="0"/>
      <w:ind w:left="0" w:firstLine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E17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F36FDF086E748816DF24602A03D05" ma:contentTypeVersion="17" ma:contentTypeDescription="Criar um novo documento." ma:contentTypeScope="" ma:versionID="6c35469d96f271cd8c6f4535080363b0">
  <xsd:schema xmlns:xsd="http://www.w3.org/2001/XMLSchema" xmlns:xs="http://www.w3.org/2001/XMLSchema" xmlns:p="http://schemas.microsoft.com/office/2006/metadata/properties" xmlns:ns3="96947680-25ab-4036-8be8-83f27216779c" xmlns:ns4="4ce425f3-9ae2-4683-8405-35486034bc18" targetNamespace="http://schemas.microsoft.com/office/2006/metadata/properties" ma:root="true" ma:fieldsID="99540d947463e345bdc5da7c83996b55" ns3:_="" ns4:_="">
    <xsd:import namespace="96947680-25ab-4036-8be8-83f27216779c"/>
    <xsd:import namespace="4ce425f3-9ae2-4683-8405-35486034bc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47680-25ab-4036-8be8-83f272167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425f3-9ae2-4683-8405-35486034b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6jJ/42tppe1gYrGLwlIKANX/Q==">AMUW2mWTfigPVx8uzuSVPzNyWAiuBcIYwgz91bEhKGk2gMku/e5N1g3gB32YDWpnsq+YxPb7GhB7KgQDernqDoYK/cmOeDaq5B75D/6MBwfoQTC3rWWHD3EBDtCnFFP7cFUHrFJj74Gx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47680-25ab-4036-8be8-83f2721677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C0B7-B90E-4725-BD11-5978A0BE0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47680-25ab-4036-8be8-83f27216779c"/>
    <ds:schemaRef ds:uri="4ce425f3-9ae2-4683-8405-35486034b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C56BA4E-F792-4AF8-B56F-89A120A8E032}">
  <ds:schemaRefs>
    <ds:schemaRef ds:uri="http://schemas.microsoft.com/office/2006/metadata/properties"/>
    <ds:schemaRef ds:uri="http://schemas.microsoft.com/office/infopath/2007/PartnerControls"/>
    <ds:schemaRef ds:uri="96947680-25ab-4036-8be8-83f27216779c"/>
  </ds:schemaRefs>
</ds:datastoreItem>
</file>

<file path=customXml/itemProps4.xml><?xml version="1.0" encoding="utf-8"?>
<ds:datastoreItem xmlns:ds="http://schemas.openxmlformats.org/officeDocument/2006/customXml" ds:itemID="{F83D302B-901E-4271-BE42-B0F4892CF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4D1DC-A4E4-4418-9C73-AB85CEB5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17</Pages>
  <Words>7115</Words>
  <Characters>38424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PLURIS 2024</dc:creator>
  <cp:keywords>PLURIS 2024</cp:keywords>
  <cp:lastModifiedBy>Alisson Sousa Da Silva</cp:lastModifiedBy>
  <cp:revision>42</cp:revision>
  <cp:lastPrinted>2024-07-04T12:35:00Z</cp:lastPrinted>
  <dcterms:created xsi:type="dcterms:W3CDTF">2024-07-10T10:58:00Z</dcterms:created>
  <dcterms:modified xsi:type="dcterms:W3CDTF">2024-07-11T03:03:00Z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0x010100474F36FDF086E748816DF24602A03D05</vt:lpwstr>
  </property>
</Properties>
</file>