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0DDA" w14:textId="00B4DCF9" w:rsidR="00A919C0" w:rsidRPr="009308BE" w:rsidRDefault="00A919C0" w:rsidP="00A919C0">
      <w:pPr>
        <w:spacing w:after="0" w:line="480" w:lineRule="auto"/>
        <w:jc w:val="center"/>
        <w:rPr>
          <w:rFonts w:ascii="Times New Roman" w:eastAsia="Times New Roman" w:hAnsi="Times New Roman" w:cs="Times New Roman"/>
          <w:sz w:val="28"/>
          <w:szCs w:val="28"/>
        </w:rPr>
      </w:pPr>
      <w:bookmarkStart w:id="0" w:name="_Hlk176682068"/>
      <w:bookmarkEnd w:id="0"/>
      <w:r w:rsidRPr="006675C2">
        <w:rPr>
          <w:rFonts w:ascii="Times New Roman" w:eastAsia="Times New Roman" w:hAnsi="Times New Roman" w:cs="Times New Roman"/>
          <w:sz w:val="36"/>
          <w:szCs w:val="36"/>
        </w:rPr>
        <w:t>The SWAT model for modelling hydrological characterization and water balance for the Ndarugu-Thririka sub-catchment.</w:t>
      </w:r>
    </w:p>
    <w:p w14:paraId="0A928690" w14:textId="2DE030F9" w:rsidR="00532A51" w:rsidRDefault="00532A51" w:rsidP="009308BE">
      <w:pPr>
        <w:tabs>
          <w:tab w:val="left" w:pos="2445"/>
        </w:tabs>
        <w:spacing w:after="0" w:line="480" w:lineRule="auto"/>
        <w:jc w:val="center"/>
        <w:rPr>
          <w:rFonts w:ascii="Times New Roman" w:hAnsi="Times New Roman" w:cs="Times New Roman"/>
        </w:rPr>
      </w:pPr>
      <w:r w:rsidRPr="009308BE">
        <w:rPr>
          <w:rFonts w:ascii="Times New Roman" w:hAnsi="Times New Roman" w:cs="Times New Roman"/>
          <w:vertAlign w:val="superscript"/>
        </w:rPr>
        <w:t>1</w:t>
      </w:r>
      <w:r w:rsidR="000570D7">
        <w:rPr>
          <w:rFonts w:ascii="Times New Roman" w:hAnsi="Times New Roman" w:cs="Times New Roman"/>
          <w:vertAlign w:val="superscript"/>
        </w:rPr>
        <w:t>/2</w:t>
      </w:r>
      <w:r w:rsidRPr="009308BE">
        <w:rPr>
          <w:rFonts w:ascii="Times New Roman" w:hAnsi="Times New Roman" w:cs="Times New Roman"/>
        </w:rPr>
        <w:t xml:space="preserve"> Kagiri Moses, </w:t>
      </w:r>
      <w:r w:rsidR="000570D7">
        <w:rPr>
          <w:rFonts w:ascii="Times New Roman" w:hAnsi="Times New Roman" w:cs="Times New Roman"/>
          <w:vertAlign w:val="superscript"/>
        </w:rPr>
        <w:t>2</w:t>
      </w:r>
      <w:r w:rsidRPr="009308BE">
        <w:rPr>
          <w:rFonts w:ascii="Times New Roman" w:hAnsi="Times New Roman" w:cs="Times New Roman"/>
        </w:rPr>
        <w:t xml:space="preserve"> Murimi Shadrack, </w:t>
      </w:r>
      <w:r w:rsidR="000570D7">
        <w:rPr>
          <w:rFonts w:ascii="Times New Roman" w:hAnsi="Times New Roman" w:cs="Times New Roman"/>
          <w:vertAlign w:val="superscript"/>
        </w:rPr>
        <w:t>2</w:t>
      </w:r>
      <w:r w:rsidRPr="009308BE">
        <w:rPr>
          <w:rFonts w:ascii="Times New Roman" w:hAnsi="Times New Roman" w:cs="Times New Roman"/>
        </w:rPr>
        <w:t xml:space="preserve"> Makhoha Mary, </w:t>
      </w:r>
      <w:r w:rsidR="000570D7">
        <w:rPr>
          <w:rFonts w:ascii="Times New Roman" w:hAnsi="Times New Roman" w:cs="Times New Roman"/>
          <w:vertAlign w:val="superscript"/>
        </w:rPr>
        <w:t>3</w:t>
      </w:r>
      <w:r w:rsidRPr="009308BE">
        <w:rPr>
          <w:rFonts w:ascii="Times New Roman" w:hAnsi="Times New Roman" w:cs="Times New Roman"/>
        </w:rPr>
        <w:t xml:space="preserve"> Njihia Paul</w:t>
      </w:r>
    </w:p>
    <w:p w14:paraId="3240F2F1" w14:textId="6C3C25AA" w:rsidR="00532A51" w:rsidRDefault="00532A51" w:rsidP="00532A51">
      <w:pPr>
        <w:spacing w:line="480" w:lineRule="auto"/>
        <w:ind w:left="1440" w:firstLine="60"/>
        <w:jc w:val="center"/>
        <w:rPr>
          <w:rFonts w:ascii="Times New Roman" w:hAnsi="Times New Roman" w:cs="Times New Roman"/>
          <w:i/>
          <w:iCs/>
          <w:sz w:val="20"/>
          <w:szCs w:val="20"/>
        </w:rPr>
      </w:pPr>
      <w:r w:rsidRPr="00300F63">
        <w:rPr>
          <w:rFonts w:ascii="Times New Roman" w:hAnsi="Times New Roman" w:cs="Times New Roman"/>
          <w:i/>
          <w:iCs/>
          <w:sz w:val="20"/>
          <w:szCs w:val="20"/>
          <w:vertAlign w:val="superscript"/>
        </w:rPr>
        <w:t>1</w:t>
      </w:r>
      <w:r w:rsidR="000570D7">
        <w:rPr>
          <w:rFonts w:ascii="Times New Roman" w:hAnsi="Times New Roman" w:cs="Times New Roman"/>
          <w:i/>
          <w:iCs/>
          <w:sz w:val="20"/>
          <w:szCs w:val="20"/>
          <w:vertAlign w:val="superscript"/>
        </w:rPr>
        <w:t xml:space="preserve"> </w:t>
      </w:r>
      <w:r w:rsidR="000570D7">
        <w:rPr>
          <w:rFonts w:ascii="Times New Roman" w:hAnsi="Times New Roman" w:cs="Times New Roman"/>
          <w:i/>
          <w:iCs/>
          <w:sz w:val="20"/>
          <w:szCs w:val="20"/>
        </w:rPr>
        <w:t xml:space="preserve">School of Engineering and Technology, Technical University of Mombasa, </w:t>
      </w:r>
      <w:r w:rsidR="000570D7" w:rsidRPr="000570D7">
        <w:rPr>
          <w:rFonts w:ascii="Times New Roman" w:hAnsi="Times New Roman" w:cs="Times New Roman"/>
          <w:i/>
          <w:iCs/>
          <w:sz w:val="20"/>
          <w:szCs w:val="20"/>
          <w:vertAlign w:val="superscript"/>
        </w:rPr>
        <w:t>2</w:t>
      </w:r>
      <w:r w:rsidRPr="00300F63">
        <w:rPr>
          <w:rFonts w:ascii="Times New Roman" w:hAnsi="Times New Roman" w:cs="Times New Roman"/>
          <w:i/>
          <w:iCs/>
          <w:sz w:val="20"/>
          <w:szCs w:val="20"/>
        </w:rPr>
        <w:t xml:space="preserve"> School of Pure and Applied Science, Kenyatta University and </w:t>
      </w:r>
      <w:r w:rsidR="000570D7">
        <w:rPr>
          <w:rFonts w:ascii="Times New Roman" w:hAnsi="Times New Roman" w:cs="Times New Roman"/>
          <w:i/>
          <w:iCs/>
          <w:sz w:val="20"/>
          <w:szCs w:val="20"/>
          <w:vertAlign w:val="superscript"/>
        </w:rPr>
        <w:t>3</w:t>
      </w:r>
      <w:r w:rsidRPr="00300F63">
        <w:rPr>
          <w:rFonts w:ascii="Times New Roman" w:hAnsi="Times New Roman" w:cs="Times New Roman"/>
          <w:i/>
          <w:iCs/>
          <w:sz w:val="20"/>
          <w:szCs w:val="20"/>
        </w:rPr>
        <w:t xml:space="preserve"> School of Pure and Applied Science, Technical University of Mombasa.</w:t>
      </w:r>
    </w:p>
    <w:p w14:paraId="17D6E178" w14:textId="77777777" w:rsidR="006B7B2C" w:rsidRDefault="006B7B2C" w:rsidP="00902DE0">
      <w:pPr>
        <w:tabs>
          <w:tab w:val="left" w:pos="6345"/>
        </w:tabs>
        <w:spacing w:line="480" w:lineRule="auto"/>
        <w:ind w:left="1440" w:firstLine="60"/>
        <w:jc w:val="center"/>
        <w:rPr>
          <w:rFonts w:ascii="Times New Roman" w:eastAsia="Times New Roman" w:hAnsi="Times New Roman" w:cs="Times New Roman"/>
          <w:b/>
          <w:bCs/>
          <w:i/>
          <w:iCs/>
        </w:rPr>
      </w:pPr>
    </w:p>
    <w:p w14:paraId="603CDED8" w14:textId="2877D298" w:rsidR="00532A51" w:rsidRPr="006B7B2C" w:rsidRDefault="00D528D1" w:rsidP="00902DE0">
      <w:pPr>
        <w:tabs>
          <w:tab w:val="left" w:pos="6345"/>
        </w:tabs>
        <w:spacing w:line="480" w:lineRule="auto"/>
        <w:ind w:left="1440" w:firstLine="60"/>
        <w:jc w:val="center"/>
        <w:rPr>
          <w:rFonts w:ascii="Times New Roman" w:eastAsia="Times New Roman" w:hAnsi="Times New Roman" w:cs="Times New Roman"/>
          <w:b/>
          <w:bCs/>
          <w:sz w:val="20"/>
          <w:szCs w:val="20"/>
        </w:rPr>
      </w:pPr>
      <w:r w:rsidRPr="006B7B2C">
        <w:rPr>
          <w:rFonts w:ascii="Times New Roman" w:eastAsia="Times New Roman" w:hAnsi="Times New Roman" w:cs="Times New Roman"/>
          <w:b/>
          <w:bCs/>
          <w:sz w:val="20"/>
          <w:szCs w:val="20"/>
        </w:rPr>
        <w:t>Abstract</w:t>
      </w:r>
    </w:p>
    <w:p w14:paraId="26FF7EBE" w14:textId="59BC7400" w:rsidR="000F01D5" w:rsidRPr="009308BE" w:rsidRDefault="00D528D1" w:rsidP="00D528D1">
      <w:pPr>
        <w:tabs>
          <w:tab w:val="left" w:pos="960"/>
        </w:tabs>
        <w:rPr>
          <w:rFonts w:ascii="Times New Roman" w:eastAsia="Times New Roman" w:hAnsi="Times New Roman" w:cs="Times New Roman"/>
          <w:sz w:val="2"/>
          <w:szCs w:val="2"/>
        </w:rPr>
      </w:pPr>
      <w:r w:rsidRPr="009308BE">
        <w:rPr>
          <w:rFonts w:ascii="Times New Roman" w:eastAsia="Times New Roman" w:hAnsi="Times New Roman" w:cs="Times New Roman"/>
        </w:rPr>
        <w:tab/>
      </w:r>
    </w:p>
    <w:p w14:paraId="2272E023" w14:textId="2D92D5FD" w:rsidR="008E51AC" w:rsidRPr="006B7B2C" w:rsidRDefault="008E51AC" w:rsidP="008E51AC">
      <w:pPr>
        <w:spacing w:line="480" w:lineRule="auto"/>
        <w:contextualSpacing/>
        <w:jc w:val="both"/>
        <w:rPr>
          <w:rFonts w:ascii="Times New Roman" w:eastAsia="Times New Roman" w:hAnsi="Times New Roman" w:cs="Times New Roman"/>
          <w:sz w:val="20"/>
          <w:szCs w:val="20"/>
        </w:rPr>
      </w:pPr>
      <w:r w:rsidRPr="006B7B2C">
        <w:rPr>
          <w:rFonts w:ascii="Times New Roman" w:eastAsia="Times New Roman" w:hAnsi="Times New Roman" w:cs="Times New Roman"/>
          <w:sz w:val="20"/>
          <w:szCs w:val="20"/>
        </w:rPr>
        <w:t>A healthy watershed should provide for nutrient cycling, carbon storage, erosion/sedimentation control, increased biodiversity, soil formation, wildlife movement corridors, water storage, water filtration, flood control, food, timber, and recreation. Therefore, their management is crucial using the appropriate tools (hydrologic models). These models provide accurate information but must be calibrated and validated. In this study, the Soil and Water Assessment Tool (SWAT) model successfully determined water balance and characterization for the Ndarugu -Thiririka sub-catchments.</w:t>
      </w:r>
    </w:p>
    <w:p w14:paraId="7528159C" w14:textId="77777777" w:rsidR="001533B2" w:rsidRPr="006B7B2C" w:rsidRDefault="001533B2" w:rsidP="008E51AC">
      <w:pPr>
        <w:spacing w:line="480" w:lineRule="auto"/>
        <w:contextualSpacing/>
        <w:jc w:val="both"/>
        <w:rPr>
          <w:rFonts w:ascii="Times New Roman" w:eastAsia="Times New Roman" w:hAnsi="Times New Roman" w:cs="Times New Roman"/>
          <w:sz w:val="6"/>
          <w:szCs w:val="6"/>
        </w:rPr>
      </w:pPr>
    </w:p>
    <w:p w14:paraId="40A9C8C3" w14:textId="77777777" w:rsidR="00EC6326" w:rsidRPr="006B7B2C" w:rsidRDefault="00EC6326" w:rsidP="0073496C">
      <w:pPr>
        <w:spacing w:line="480" w:lineRule="auto"/>
        <w:contextualSpacing/>
        <w:jc w:val="both"/>
        <w:rPr>
          <w:rFonts w:ascii="Times New Roman" w:eastAsia="Times New Roman" w:hAnsi="Times New Roman" w:cs="Times New Roman"/>
          <w:sz w:val="20"/>
          <w:szCs w:val="20"/>
        </w:rPr>
      </w:pPr>
      <w:r w:rsidRPr="006B7B2C">
        <w:rPr>
          <w:rFonts w:ascii="Times New Roman" w:eastAsia="Times New Roman" w:hAnsi="Times New Roman" w:cs="Times New Roman"/>
          <w:sz w:val="20"/>
          <w:szCs w:val="20"/>
        </w:rPr>
        <w:t xml:space="preserve">The analysis showed that evapotranspiration rates accounted for over 75% of the total water balance, which equals 571.06 mm. The annual surface runoff was estimated at 82.46, making up 11% of the entire water balance. The lateral flow was 1.5% or 11.77 mm after the validation of the SWAT model. Also, results showed the highest flows were recorded in May and June, while the lowest flows were in February and OctoberThe statistical indicators and graphs indicate that the model performs satisfactorily for the daily streamflow. </w:t>
      </w:r>
    </w:p>
    <w:p w14:paraId="0C81E8DD" w14:textId="77777777" w:rsidR="00EC6326" w:rsidRPr="006B7B2C" w:rsidRDefault="00EC6326" w:rsidP="0073496C">
      <w:pPr>
        <w:spacing w:line="480" w:lineRule="auto"/>
        <w:contextualSpacing/>
        <w:jc w:val="both"/>
        <w:rPr>
          <w:rFonts w:ascii="Times New Roman" w:eastAsia="Times New Roman" w:hAnsi="Times New Roman" w:cs="Times New Roman"/>
          <w:sz w:val="2"/>
          <w:szCs w:val="2"/>
        </w:rPr>
      </w:pPr>
    </w:p>
    <w:p w14:paraId="6F0FD6CA" w14:textId="2F997380" w:rsidR="0073496C" w:rsidRPr="006B7B2C" w:rsidRDefault="00EC6326" w:rsidP="0073496C">
      <w:pPr>
        <w:spacing w:line="480" w:lineRule="auto"/>
        <w:contextualSpacing/>
        <w:jc w:val="both"/>
        <w:rPr>
          <w:rFonts w:ascii="Times New Roman" w:eastAsia="Times New Roman" w:hAnsi="Times New Roman" w:cs="Times New Roman"/>
          <w:sz w:val="20"/>
          <w:szCs w:val="20"/>
        </w:rPr>
      </w:pPr>
      <w:r w:rsidRPr="006B7B2C">
        <w:rPr>
          <w:rFonts w:ascii="Times New Roman" w:eastAsia="Times New Roman" w:hAnsi="Times New Roman" w:cs="Times New Roman"/>
          <w:sz w:val="20"/>
          <w:szCs w:val="20"/>
        </w:rPr>
        <w:t>For the calibration period of the SWAT model, the statistical analysis showed R</w:t>
      </w:r>
      <w:r w:rsidRPr="006B7B2C">
        <w:rPr>
          <w:rFonts w:ascii="Times New Roman" w:eastAsia="Times New Roman" w:hAnsi="Times New Roman" w:cs="Times New Roman"/>
          <w:sz w:val="20"/>
          <w:szCs w:val="20"/>
          <w:vertAlign w:val="superscript"/>
        </w:rPr>
        <w:t>2</w:t>
      </w:r>
      <w:r w:rsidRPr="006B7B2C">
        <w:rPr>
          <w:rFonts w:ascii="Times New Roman" w:eastAsia="Times New Roman" w:hAnsi="Times New Roman" w:cs="Times New Roman"/>
          <w:sz w:val="20"/>
          <w:szCs w:val="20"/>
        </w:rPr>
        <w:t xml:space="preserve"> = 0.96, p = 0.93, r = 0.11, NSE = 096 and PBIAS = - 0.8. The validation results were R</w:t>
      </w:r>
      <w:r w:rsidRPr="006B7B2C">
        <w:rPr>
          <w:rFonts w:ascii="Times New Roman" w:eastAsia="Times New Roman" w:hAnsi="Times New Roman" w:cs="Times New Roman"/>
          <w:sz w:val="20"/>
          <w:szCs w:val="20"/>
          <w:vertAlign w:val="superscript"/>
        </w:rPr>
        <w:t>2</w:t>
      </w:r>
      <w:r w:rsidRPr="006B7B2C">
        <w:rPr>
          <w:rFonts w:ascii="Times New Roman" w:eastAsia="Times New Roman" w:hAnsi="Times New Roman" w:cs="Times New Roman"/>
          <w:sz w:val="20"/>
          <w:szCs w:val="20"/>
        </w:rPr>
        <w:t xml:space="preserve"> = 0.98, p = 0.92, r = 0.15, NSE = 098 and PBIAS = - 1.8. The graphical values of NSE </w:t>
      </w:r>
      <w:r w:rsidR="006B7B2C">
        <w:rPr>
          <w:rFonts w:ascii="Times New Roman" w:eastAsia="Times New Roman" w:hAnsi="Times New Roman" w:cs="Times New Roman"/>
          <w:sz w:val="20"/>
          <w:szCs w:val="20"/>
        </w:rPr>
        <w:t xml:space="preserve">and </w:t>
      </w:r>
      <w:r w:rsidRPr="006B7B2C">
        <w:rPr>
          <w:rFonts w:ascii="Times New Roman" w:eastAsia="Times New Roman" w:hAnsi="Times New Roman" w:cs="Times New Roman"/>
          <w:sz w:val="20"/>
          <w:szCs w:val="20"/>
        </w:rPr>
        <w:t>R</w:t>
      </w:r>
      <w:r w:rsidRPr="006B7B2C">
        <w:rPr>
          <w:rFonts w:ascii="Times New Roman" w:eastAsia="Times New Roman" w:hAnsi="Times New Roman" w:cs="Times New Roman"/>
          <w:sz w:val="20"/>
          <w:szCs w:val="20"/>
          <w:vertAlign w:val="superscript"/>
        </w:rPr>
        <w:t xml:space="preserve">2 </w:t>
      </w:r>
      <w:r w:rsidRPr="006B7B2C">
        <w:rPr>
          <w:rFonts w:ascii="Times New Roman" w:eastAsia="Times New Roman" w:hAnsi="Times New Roman" w:cs="Times New Roman"/>
          <w:sz w:val="20"/>
          <w:szCs w:val="20"/>
        </w:rPr>
        <w:t>indicated the substantial predictive ability of the SWAT model after the calibration and validation processes</w:t>
      </w:r>
      <w:r w:rsidR="006B7B2C">
        <w:rPr>
          <w:rFonts w:ascii="Times New Roman" w:eastAsia="Times New Roman" w:hAnsi="Times New Roman" w:cs="Times New Roman"/>
          <w:sz w:val="20"/>
          <w:szCs w:val="20"/>
        </w:rPr>
        <w:t>.</w:t>
      </w:r>
    </w:p>
    <w:p w14:paraId="75F7CF19" w14:textId="3ED0F55B" w:rsidR="00EC6326" w:rsidRDefault="00EC6326" w:rsidP="0073496C">
      <w:pPr>
        <w:spacing w:line="480" w:lineRule="auto"/>
        <w:contextualSpacing/>
        <w:jc w:val="both"/>
        <w:rPr>
          <w:rFonts w:ascii="Times New Roman" w:eastAsia="Times New Roman" w:hAnsi="Times New Roman" w:cs="Times New Roman"/>
          <w:sz w:val="20"/>
          <w:szCs w:val="20"/>
        </w:rPr>
      </w:pPr>
    </w:p>
    <w:p w14:paraId="716186E3" w14:textId="4580A2B5" w:rsidR="00EC6326" w:rsidRDefault="00EC6326" w:rsidP="0073496C">
      <w:pPr>
        <w:spacing w:line="480" w:lineRule="auto"/>
        <w:contextualSpacing/>
        <w:jc w:val="both"/>
        <w:rPr>
          <w:rFonts w:ascii="Times New Roman" w:eastAsia="Times New Roman" w:hAnsi="Times New Roman" w:cs="Times New Roman"/>
          <w:sz w:val="20"/>
          <w:szCs w:val="20"/>
        </w:rPr>
      </w:pPr>
    </w:p>
    <w:p w14:paraId="72EED77D" w14:textId="4FCDB92A" w:rsidR="00EC6326" w:rsidRDefault="00EC6326" w:rsidP="0073496C">
      <w:pPr>
        <w:spacing w:line="480" w:lineRule="auto"/>
        <w:contextualSpacing/>
        <w:jc w:val="both"/>
        <w:rPr>
          <w:rFonts w:ascii="Times New Roman" w:eastAsia="Times New Roman" w:hAnsi="Times New Roman" w:cs="Times New Roman"/>
          <w:sz w:val="20"/>
          <w:szCs w:val="20"/>
        </w:rPr>
      </w:pPr>
    </w:p>
    <w:p w14:paraId="224569AF" w14:textId="77777777" w:rsidR="00EC6326" w:rsidRPr="009F5BBE" w:rsidRDefault="00EC6326" w:rsidP="0073496C">
      <w:pPr>
        <w:spacing w:line="480" w:lineRule="auto"/>
        <w:contextualSpacing/>
        <w:jc w:val="both"/>
        <w:rPr>
          <w:rFonts w:ascii="Times New Roman" w:eastAsia="Times New Roman" w:hAnsi="Times New Roman" w:cs="Times New Roman"/>
          <w:i/>
          <w:iCs/>
          <w:sz w:val="6"/>
          <w:szCs w:val="6"/>
        </w:rPr>
      </w:pPr>
    </w:p>
    <w:p w14:paraId="63118DE0" w14:textId="337CC27C" w:rsidR="00972D15" w:rsidRPr="00EF3D11" w:rsidRDefault="00972D15" w:rsidP="00532A51">
      <w:pPr>
        <w:spacing w:line="240" w:lineRule="auto"/>
        <w:contextualSpacing/>
        <w:jc w:val="both"/>
        <w:rPr>
          <w:rFonts w:ascii="Times New Roman" w:eastAsia="Times New Roman" w:hAnsi="Times New Roman" w:cs="Times New Roman"/>
          <w:i/>
          <w:iCs/>
          <w:sz w:val="2"/>
          <w:szCs w:val="2"/>
        </w:rPr>
      </w:pPr>
    </w:p>
    <w:p w14:paraId="011AF86E" w14:textId="0BBF3BDF" w:rsidR="00972D15" w:rsidRDefault="00972D15" w:rsidP="00972D15">
      <w:pPr>
        <w:pStyle w:val="NormalWeb"/>
        <w:spacing w:before="0" w:after="0" w:line="480" w:lineRule="auto"/>
        <w:ind w:firstLine="0"/>
        <w:jc w:val="left"/>
        <w:rPr>
          <w:b/>
          <w:bCs/>
          <w:color w:val="0E101A"/>
          <w:sz w:val="20"/>
          <w:szCs w:val="20"/>
          <w:lang w:val="en-US"/>
        </w:rPr>
      </w:pPr>
      <w:r>
        <w:rPr>
          <w:b/>
          <w:bCs/>
          <w:color w:val="0E101A"/>
          <w:sz w:val="20"/>
          <w:szCs w:val="20"/>
          <w:lang w:val="en-US"/>
        </w:rPr>
        <w:t>1</w:t>
      </w:r>
      <w:r>
        <w:rPr>
          <w:b/>
          <w:bCs/>
          <w:color w:val="0E101A"/>
          <w:sz w:val="20"/>
          <w:szCs w:val="20"/>
          <w:lang w:val="en-US"/>
        </w:rPr>
        <w:tab/>
        <w:t>Introduction</w:t>
      </w:r>
    </w:p>
    <w:p w14:paraId="426893B5" w14:textId="77777777" w:rsidR="0073496C" w:rsidRPr="003B38DD" w:rsidRDefault="0073496C" w:rsidP="00972D15">
      <w:pPr>
        <w:pStyle w:val="NormalWeb"/>
        <w:spacing w:before="0" w:after="0" w:line="480" w:lineRule="auto"/>
        <w:ind w:firstLine="0"/>
        <w:jc w:val="left"/>
        <w:rPr>
          <w:sz w:val="6"/>
          <w:szCs w:val="6"/>
        </w:rPr>
      </w:pPr>
    </w:p>
    <w:p w14:paraId="02B93CF3" w14:textId="77777777" w:rsidR="00972D15" w:rsidRPr="008A4F3B" w:rsidRDefault="00972D15" w:rsidP="00972D15">
      <w:pPr>
        <w:spacing w:after="0" w:line="360" w:lineRule="auto"/>
        <w:ind w:firstLine="720"/>
        <w:jc w:val="both"/>
        <w:rPr>
          <w:rFonts w:ascii="Times New Roman" w:eastAsia="Times New Roman" w:hAnsi="Times New Roman"/>
          <w:color w:val="0E101A"/>
          <w:sz w:val="2"/>
          <w:szCs w:val="2"/>
        </w:rPr>
      </w:pPr>
    </w:p>
    <w:p w14:paraId="6DB3C086" w14:textId="4E32E5C6" w:rsidR="009F5BBE" w:rsidRDefault="008A4F3B" w:rsidP="003B38DD">
      <w:pPr>
        <w:spacing w:after="0" w:line="480" w:lineRule="auto"/>
        <w:jc w:val="both"/>
        <w:rPr>
          <w:rFonts w:ascii="Times New Roman" w:eastAsia="Times New Roman" w:hAnsi="Times New Roman" w:cs="Times New Roman"/>
          <w:color w:val="0E101A"/>
          <w:sz w:val="20"/>
          <w:szCs w:val="20"/>
        </w:rPr>
      </w:pPr>
      <w:r w:rsidRPr="000053B1">
        <w:rPr>
          <w:rFonts w:ascii="Times New Roman" w:eastAsia="Times New Roman" w:hAnsi="Times New Roman" w:cs="Times New Roman"/>
          <w:color w:val="0E101A"/>
          <w:sz w:val="20"/>
          <w:szCs w:val="20"/>
        </w:rPr>
        <w:t>Water is crucial for human survival, food security, environmental stability, social and economic growth, and energy generation. However, water scarcity is a global concern due to a lack of clean water, poor environmental quality, restrictions, and long-term planning. Increased water demand for industrial, commercial, and agricultural activities is causing a decline in water quality and quantity, making it difficult to find cost-effective strategies to enhance water supplies. At the basin level, water resources management is affected by biological, physical, and social factors. Water quality and quantity are declining due to increased water demand, posing a problem in finding a cost-effective strategy to enhance water supplies</w:t>
      </w:r>
      <w:r w:rsidR="00EC6326">
        <w:rPr>
          <w:rFonts w:ascii="Times New Roman" w:eastAsia="Times New Roman" w:hAnsi="Times New Roman" w:cs="Times New Roman"/>
          <w:color w:val="0E101A"/>
          <w:sz w:val="20"/>
          <w:szCs w:val="20"/>
        </w:rPr>
        <w:t xml:space="preserve"> (Ruey </w:t>
      </w:r>
      <w:r w:rsidR="00EC6326" w:rsidRPr="00EC6326">
        <w:rPr>
          <w:rFonts w:ascii="Times New Roman" w:eastAsia="Times New Roman" w:hAnsi="Times New Roman" w:cs="Times New Roman"/>
          <w:i/>
          <w:iCs/>
          <w:color w:val="0E101A"/>
          <w:sz w:val="20"/>
          <w:szCs w:val="20"/>
        </w:rPr>
        <w:t>et al</w:t>
      </w:r>
      <w:r w:rsidR="00EC6326">
        <w:rPr>
          <w:rFonts w:ascii="Times New Roman" w:eastAsia="Times New Roman" w:hAnsi="Times New Roman" w:cs="Times New Roman"/>
          <w:color w:val="0E101A"/>
          <w:sz w:val="20"/>
          <w:szCs w:val="20"/>
        </w:rPr>
        <w:t>., 2017)</w:t>
      </w:r>
      <w:r w:rsidRPr="000053B1">
        <w:rPr>
          <w:rFonts w:ascii="Times New Roman" w:eastAsia="Times New Roman" w:hAnsi="Times New Roman" w:cs="Times New Roman"/>
          <w:color w:val="0E101A"/>
          <w:sz w:val="20"/>
          <w:szCs w:val="20"/>
        </w:rPr>
        <w:t xml:space="preserve"> </w:t>
      </w:r>
    </w:p>
    <w:p w14:paraId="54893771" w14:textId="77777777" w:rsidR="00EC6326" w:rsidRDefault="00EC6326" w:rsidP="009F5BBE">
      <w:pPr>
        <w:spacing w:after="0" w:line="480" w:lineRule="auto"/>
        <w:jc w:val="both"/>
        <w:rPr>
          <w:rFonts w:ascii="Times New Roman" w:eastAsia="Times New Roman" w:hAnsi="Times New Roman" w:cs="Times New Roman"/>
          <w:color w:val="0E101A"/>
          <w:sz w:val="20"/>
          <w:szCs w:val="20"/>
        </w:rPr>
      </w:pPr>
    </w:p>
    <w:p w14:paraId="0D587409" w14:textId="7DFAFB0E" w:rsidR="00DB3C0D" w:rsidRDefault="008A4F3B" w:rsidP="009F5BBE">
      <w:pPr>
        <w:spacing w:after="0" w:line="480" w:lineRule="auto"/>
        <w:jc w:val="both"/>
        <w:rPr>
          <w:rFonts w:ascii="Times New Roman" w:eastAsia="Times New Roman" w:hAnsi="Times New Roman" w:cs="Times New Roman"/>
          <w:sz w:val="20"/>
          <w:szCs w:val="20"/>
        </w:rPr>
      </w:pPr>
      <w:r w:rsidRPr="000053B1">
        <w:rPr>
          <w:rFonts w:ascii="Times New Roman" w:eastAsia="Times New Roman" w:hAnsi="Times New Roman" w:cs="Times New Roman"/>
          <w:color w:val="0E101A"/>
          <w:sz w:val="20"/>
          <w:szCs w:val="20"/>
        </w:rPr>
        <w:t>As water demand for industrial, commercial, and agricultural activities increases, accessible water decreases (Okello </w:t>
      </w:r>
      <w:r w:rsidRPr="000053B1">
        <w:rPr>
          <w:rFonts w:ascii="Times New Roman" w:eastAsia="Times New Roman" w:hAnsi="Times New Roman" w:cs="Times New Roman"/>
          <w:i/>
          <w:iCs/>
          <w:color w:val="0E101A"/>
          <w:sz w:val="20"/>
          <w:szCs w:val="20"/>
        </w:rPr>
        <w:t>et al.,</w:t>
      </w:r>
      <w:r w:rsidRPr="000053B1">
        <w:rPr>
          <w:rFonts w:ascii="Times New Roman" w:eastAsia="Times New Roman" w:hAnsi="Times New Roman" w:cs="Times New Roman"/>
          <w:color w:val="0E101A"/>
          <w:sz w:val="20"/>
          <w:szCs w:val="20"/>
        </w:rPr>
        <w:t xml:space="preserve"> 2015). </w:t>
      </w:r>
      <w:r w:rsidR="006B1BB0" w:rsidRPr="006B1BB0">
        <w:rPr>
          <w:rFonts w:ascii="Times New Roman" w:eastAsia="Times New Roman" w:hAnsi="Times New Roman" w:cs="Times New Roman"/>
          <w:sz w:val="20"/>
          <w:szCs w:val="20"/>
        </w:rPr>
        <w:t xml:space="preserve">The decline of water resources globally, is causing economic imbalances and necessitates an efficient water allocation system. </w:t>
      </w:r>
      <w:r w:rsidR="00DB3C0D" w:rsidRPr="00DB3C0D">
        <w:rPr>
          <w:rFonts w:ascii="Times New Roman" w:eastAsia="Times New Roman" w:hAnsi="Times New Roman" w:cs="Times New Roman"/>
          <w:sz w:val="20"/>
          <w:szCs w:val="20"/>
        </w:rPr>
        <w:t xml:space="preserve">Catchments in Kenya suffer from human activities such as coal burning, poorly developed tourism facilities, water pollution, and unregulated water abstractions, thus causing significant damage to them. According to Sarkar (2022), these challenges have led to a decrease in the water supply in Kenya, with only 2% of total surface water being accessible. These issues may be solved using various models such as SWAT, ModSIM, MIKE BASIN, and WEAP 21. </w:t>
      </w:r>
    </w:p>
    <w:p w14:paraId="583FCB46" w14:textId="77777777" w:rsidR="00DB3C0D" w:rsidRPr="00DB3C0D" w:rsidRDefault="00DB3C0D" w:rsidP="00DB3C0D">
      <w:pPr>
        <w:tabs>
          <w:tab w:val="left" w:pos="945"/>
        </w:tabs>
        <w:spacing w:after="0" w:line="480" w:lineRule="auto"/>
        <w:jc w:val="both"/>
        <w:rPr>
          <w:rFonts w:ascii="Times New Roman" w:eastAsia="Times New Roman" w:hAnsi="Times New Roman" w:cs="Times New Roman"/>
          <w:sz w:val="10"/>
          <w:szCs w:val="10"/>
        </w:rPr>
      </w:pPr>
    </w:p>
    <w:p w14:paraId="3E5CA630" w14:textId="15682AD4" w:rsidR="0022232C" w:rsidRDefault="00DB3C0D" w:rsidP="00DB3C0D">
      <w:pPr>
        <w:tabs>
          <w:tab w:val="left" w:pos="945"/>
        </w:tabs>
        <w:spacing w:after="0" w:line="480" w:lineRule="auto"/>
        <w:jc w:val="both"/>
        <w:rPr>
          <w:rFonts w:ascii="Times New Roman" w:eastAsia="Times New Roman" w:hAnsi="Times New Roman" w:cs="Times New Roman"/>
          <w:sz w:val="20"/>
          <w:szCs w:val="20"/>
        </w:rPr>
      </w:pPr>
      <w:r w:rsidRPr="00DB3C0D">
        <w:rPr>
          <w:rFonts w:ascii="Times New Roman" w:eastAsia="Times New Roman" w:hAnsi="Times New Roman" w:cs="Times New Roman"/>
          <w:sz w:val="20"/>
          <w:szCs w:val="20"/>
        </w:rPr>
        <w:t>The hydrologic models help scientists determine hydrological parameters and offer the best solutions for water resource management and planning. The models use personal computers for efficient planning and decision support systems. The models aim to evaluate the hydrological parameters and water balance. The SWAT model was employed to determine water balance and hydrologic characterization for the Ndarugu - Thiririka sub-catchments.</w:t>
      </w:r>
      <w:r w:rsidR="001F77C2" w:rsidRPr="000053B1">
        <w:rPr>
          <w:rFonts w:ascii="Times New Roman" w:eastAsia="Times New Roman" w:hAnsi="Times New Roman" w:cs="Times New Roman"/>
          <w:sz w:val="20"/>
          <w:szCs w:val="20"/>
        </w:rPr>
        <w:tab/>
      </w:r>
    </w:p>
    <w:p w14:paraId="37569D00" w14:textId="77777777" w:rsidR="00DB3C0D" w:rsidRPr="00DB3C0D" w:rsidRDefault="00DB3C0D" w:rsidP="00DB3C0D">
      <w:pPr>
        <w:tabs>
          <w:tab w:val="left" w:pos="945"/>
        </w:tabs>
        <w:spacing w:after="0" w:line="480" w:lineRule="auto"/>
        <w:jc w:val="both"/>
        <w:rPr>
          <w:rFonts w:ascii="Times New Roman" w:eastAsia="Times New Roman" w:hAnsi="Times New Roman" w:cs="Times New Roman"/>
          <w:sz w:val="12"/>
          <w:szCs w:val="12"/>
        </w:rPr>
      </w:pPr>
    </w:p>
    <w:p w14:paraId="0E2FC52F" w14:textId="1DB4E87A" w:rsidR="0022232C" w:rsidRDefault="0022232C" w:rsidP="00DB3C0D">
      <w:pPr>
        <w:spacing w:after="0" w:line="480" w:lineRule="auto"/>
        <w:jc w:val="both"/>
        <w:rPr>
          <w:rFonts w:ascii="Times New Roman" w:eastAsia="Times New Roman" w:hAnsi="Times New Roman" w:cs="Times New Roman"/>
          <w:color w:val="0E101A"/>
          <w:sz w:val="20"/>
          <w:szCs w:val="20"/>
        </w:rPr>
      </w:pPr>
      <w:r w:rsidRPr="000053B1">
        <w:rPr>
          <w:rFonts w:ascii="Times New Roman" w:hAnsi="Times New Roman" w:cs="Times New Roman"/>
          <w:sz w:val="20"/>
          <w:szCs w:val="20"/>
        </w:rPr>
        <w:t>The SWAT model is a semi-distributive model that divides basins or watersheds into sub-catchments based on drainage patterns</w:t>
      </w:r>
      <w:r w:rsidR="00E3604C">
        <w:rPr>
          <w:rFonts w:ascii="Times New Roman" w:hAnsi="Times New Roman" w:cs="Times New Roman"/>
          <w:sz w:val="20"/>
          <w:szCs w:val="20"/>
        </w:rPr>
        <w:t>.</w:t>
      </w:r>
      <w:r w:rsidRPr="000053B1">
        <w:rPr>
          <w:rFonts w:ascii="Times New Roman" w:hAnsi="Times New Roman" w:cs="Times New Roman"/>
          <w:sz w:val="20"/>
          <w:szCs w:val="20"/>
        </w:rPr>
        <w:t xml:space="preserve"> </w:t>
      </w:r>
      <w:r w:rsidR="00E3604C">
        <w:rPr>
          <w:rFonts w:ascii="Times New Roman" w:hAnsi="Times New Roman" w:cs="Times New Roman"/>
          <w:sz w:val="20"/>
          <w:szCs w:val="20"/>
        </w:rPr>
        <w:t xml:space="preserve">The </w:t>
      </w:r>
      <w:r w:rsidRPr="000053B1">
        <w:rPr>
          <w:rFonts w:ascii="Times New Roman" w:hAnsi="Times New Roman" w:cs="Times New Roman"/>
          <w:sz w:val="20"/>
          <w:szCs w:val="20"/>
        </w:rPr>
        <w:t>SWAT model accurately simulates, pesticides, sediments, transportion of the nutrients and flows into the watershed</w:t>
      </w:r>
      <w:r w:rsidR="00E3604C">
        <w:rPr>
          <w:rFonts w:ascii="Times New Roman" w:hAnsi="Times New Roman" w:cs="Times New Roman"/>
          <w:sz w:val="20"/>
          <w:szCs w:val="20"/>
        </w:rPr>
        <w:t xml:space="preserve"> (Bhatt and Tiwari, 2019). </w:t>
      </w:r>
      <w:r w:rsidRPr="000053B1">
        <w:rPr>
          <w:rFonts w:ascii="Times New Roman" w:hAnsi="Times New Roman" w:cs="Times New Roman"/>
          <w:sz w:val="20"/>
          <w:szCs w:val="20"/>
        </w:rPr>
        <w:t xml:space="preserve">The other elements modelled by the SWAT model are groundwater, water quality and climate change. </w:t>
      </w:r>
      <w:r w:rsidRPr="000053B1">
        <w:rPr>
          <w:rFonts w:ascii="Times New Roman" w:eastAsia="Times New Roman" w:hAnsi="Times New Roman" w:cs="Times New Roman"/>
          <w:color w:val="0E101A"/>
          <w:sz w:val="20"/>
          <w:szCs w:val="20"/>
        </w:rPr>
        <w:t>The model divides watersheds into tiny sub-basins known as “Hydrological Response Units” based on groundwater regime, surface area and soil type (</w:t>
      </w:r>
      <w:r w:rsidR="007E03B3">
        <w:rPr>
          <w:rFonts w:ascii="Times New Roman" w:eastAsia="Times New Roman" w:hAnsi="Times New Roman" w:cs="Times New Roman"/>
          <w:color w:val="0E101A"/>
          <w:sz w:val="20"/>
          <w:szCs w:val="20"/>
        </w:rPr>
        <w:t>Wang</w:t>
      </w:r>
      <w:r w:rsidRPr="000053B1">
        <w:rPr>
          <w:rFonts w:ascii="Times New Roman" w:eastAsia="Times New Roman" w:hAnsi="Times New Roman" w:cs="Times New Roman"/>
          <w:color w:val="0E101A"/>
          <w:sz w:val="20"/>
          <w:szCs w:val="20"/>
        </w:rPr>
        <w:t> </w:t>
      </w:r>
      <w:r w:rsidRPr="000053B1">
        <w:rPr>
          <w:rFonts w:ascii="Times New Roman" w:eastAsia="Times New Roman" w:hAnsi="Times New Roman" w:cs="Times New Roman"/>
          <w:i/>
          <w:iCs/>
          <w:color w:val="0E101A"/>
          <w:sz w:val="20"/>
          <w:szCs w:val="20"/>
        </w:rPr>
        <w:t>et al.,</w:t>
      </w:r>
      <w:r w:rsidRPr="000053B1">
        <w:rPr>
          <w:rFonts w:ascii="Times New Roman" w:eastAsia="Times New Roman" w:hAnsi="Times New Roman" w:cs="Times New Roman"/>
          <w:color w:val="0E101A"/>
          <w:sz w:val="20"/>
          <w:szCs w:val="20"/>
        </w:rPr>
        <w:t> 201</w:t>
      </w:r>
      <w:r w:rsidR="007E03B3">
        <w:rPr>
          <w:rFonts w:ascii="Times New Roman" w:eastAsia="Times New Roman" w:hAnsi="Times New Roman" w:cs="Times New Roman"/>
          <w:color w:val="0E101A"/>
          <w:sz w:val="20"/>
          <w:szCs w:val="20"/>
        </w:rPr>
        <w:t>0</w:t>
      </w:r>
      <w:r w:rsidRPr="000053B1">
        <w:rPr>
          <w:rFonts w:ascii="Times New Roman" w:eastAsia="Times New Roman" w:hAnsi="Times New Roman" w:cs="Times New Roman"/>
          <w:color w:val="0E101A"/>
          <w:sz w:val="20"/>
          <w:szCs w:val="20"/>
        </w:rPr>
        <w:t>).</w:t>
      </w:r>
    </w:p>
    <w:p w14:paraId="30CCAA6F" w14:textId="77777777" w:rsidR="00031B9C" w:rsidRPr="00445A15" w:rsidRDefault="00031B9C" w:rsidP="007E03B3">
      <w:pPr>
        <w:tabs>
          <w:tab w:val="left" w:pos="2790"/>
        </w:tabs>
        <w:spacing w:after="0" w:line="360" w:lineRule="auto"/>
        <w:jc w:val="both"/>
        <w:rPr>
          <w:rFonts w:ascii="Times New Roman" w:eastAsia="Times New Roman" w:hAnsi="Times New Roman" w:cs="Times New Roman"/>
          <w:sz w:val="8"/>
          <w:szCs w:val="8"/>
        </w:rPr>
      </w:pPr>
    </w:p>
    <w:p w14:paraId="3F257948" w14:textId="77777777" w:rsidR="00972D15" w:rsidRPr="0022232C" w:rsidRDefault="00972D15" w:rsidP="00972D15">
      <w:pPr>
        <w:spacing w:line="480" w:lineRule="auto"/>
        <w:jc w:val="both"/>
        <w:rPr>
          <w:rFonts w:ascii="Times New Roman" w:hAnsi="Times New Roman"/>
          <w:b/>
          <w:bCs/>
        </w:rPr>
      </w:pPr>
      <w:r w:rsidRPr="0022232C">
        <w:rPr>
          <w:rFonts w:ascii="Times New Roman" w:hAnsi="Times New Roman"/>
          <w:b/>
          <w:bCs/>
        </w:rPr>
        <w:t>2</w:t>
      </w:r>
      <w:r w:rsidRPr="0022232C">
        <w:rPr>
          <w:rFonts w:ascii="Times New Roman" w:hAnsi="Times New Roman"/>
          <w:b/>
          <w:bCs/>
        </w:rPr>
        <w:tab/>
        <w:t xml:space="preserve">The study area </w:t>
      </w:r>
    </w:p>
    <w:p w14:paraId="1BAAA224" w14:textId="7088E536" w:rsidR="00972D15" w:rsidRDefault="00972D15" w:rsidP="00972D15">
      <w:pPr>
        <w:spacing w:line="480" w:lineRule="auto"/>
        <w:jc w:val="both"/>
        <w:rPr>
          <w:rFonts w:ascii="Times New Roman" w:hAnsi="Times New Roman"/>
          <w:b/>
          <w:bCs/>
        </w:rPr>
      </w:pPr>
      <w:r w:rsidRPr="0022232C">
        <w:rPr>
          <w:rFonts w:ascii="Times New Roman" w:hAnsi="Times New Roman"/>
          <w:b/>
          <w:bCs/>
        </w:rPr>
        <w:t>2.1</w:t>
      </w:r>
      <w:r w:rsidRPr="0022232C">
        <w:rPr>
          <w:rFonts w:ascii="Times New Roman" w:hAnsi="Times New Roman"/>
          <w:b/>
          <w:bCs/>
        </w:rPr>
        <w:tab/>
        <w:t>The Ndarugu – Thiririka sub-catchments</w:t>
      </w:r>
    </w:p>
    <w:p w14:paraId="558CC847" w14:textId="48FBC680" w:rsidR="0022232C" w:rsidRDefault="0022232C" w:rsidP="001F77C2">
      <w:pPr>
        <w:spacing w:after="0" w:line="480" w:lineRule="auto"/>
        <w:jc w:val="both"/>
        <w:rPr>
          <w:rFonts w:ascii="Times New Roman" w:eastAsia="Times New Roman" w:hAnsi="Times New Roman" w:cs="Times New Roman"/>
          <w:sz w:val="20"/>
          <w:szCs w:val="20"/>
        </w:rPr>
      </w:pPr>
      <w:r w:rsidRPr="0022232C">
        <w:rPr>
          <w:rFonts w:ascii="Times New Roman" w:eastAsia="Times New Roman" w:hAnsi="Times New Roman" w:cs="Times New Roman"/>
        </w:rPr>
        <w:t xml:space="preserve">The </w:t>
      </w:r>
      <w:r w:rsidRPr="0022232C">
        <w:rPr>
          <w:rFonts w:ascii="Times New Roman" w:eastAsia="Times New Roman" w:hAnsi="Times New Roman" w:cs="Times New Roman"/>
          <w:sz w:val="20"/>
          <w:szCs w:val="20"/>
        </w:rPr>
        <w:t xml:space="preserve">sub-catchments, located 30 kilometers south of Nairobi city, span </w:t>
      </w:r>
      <w:r w:rsidR="001F77C2" w:rsidRPr="000053B1">
        <w:rPr>
          <w:rFonts w:ascii="Times New Roman" w:eastAsia="Times New Roman" w:hAnsi="Times New Roman" w:cs="Times New Roman"/>
          <w:sz w:val="20"/>
          <w:szCs w:val="20"/>
        </w:rPr>
        <w:t xml:space="preserve">an area of </w:t>
      </w:r>
      <w:r w:rsidRPr="0022232C">
        <w:rPr>
          <w:rFonts w:ascii="Times New Roman" w:eastAsia="Times New Roman" w:hAnsi="Times New Roman" w:cs="Times New Roman"/>
          <w:sz w:val="20"/>
          <w:szCs w:val="20"/>
        </w:rPr>
        <w:t>1360.241 km</w:t>
      </w:r>
      <w:r w:rsidRPr="0022232C">
        <w:rPr>
          <w:rFonts w:ascii="Times New Roman" w:eastAsia="Times New Roman" w:hAnsi="Times New Roman" w:cs="Times New Roman"/>
          <w:sz w:val="20"/>
          <w:szCs w:val="20"/>
          <w:vertAlign w:val="superscript"/>
        </w:rPr>
        <w:t>2</w:t>
      </w:r>
      <w:r w:rsidRPr="0022232C">
        <w:rPr>
          <w:rFonts w:ascii="Times New Roman" w:eastAsia="Times New Roman" w:hAnsi="Times New Roman" w:cs="Times New Roman"/>
          <w:sz w:val="20"/>
          <w:szCs w:val="20"/>
        </w:rPr>
        <w:t xml:space="preserve"> and have a population of 653,365 people. </w:t>
      </w:r>
      <w:r w:rsidR="00456A34">
        <w:rPr>
          <w:rFonts w:ascii="Times New Roman" w:eastAsia="Times New Roman" w:hAnsi="Times New Roman" w:cs="Times New Roman"/>
          <w:sz w:val="20"/>
          <w:szCs w:val="20"/>
        </w:rPr>
        <w:t xml:space="preserve">The sub – catchment </w:t>
      </w:r>
      <w:r w:rsidRPr="0022232C">
        <w:rPr>
          <w:rFonts w:ascii="Times New Roman" w:eastAsia="Times New Roman" w:hAnsi="Times New Roman" w:cs="Times New Roman"/>
          <w:sz w:val="20"/>
          <w:szCs w:val="20"/>
        </w:rPr>
        <w:t>is located to the south at 1° 45' 0" south and to the east at 36° 49' 48" east (Fig. 2.</w:t>
      </w:r>
      <w:r w:rsidR="006A0435">
        <w:rPr>
          <w:rFonts w:ascii="Times New Roman" w:eastAsia="Times New Roman" w:hAnsi="Times New Roman" w:cs="Times New Roman"/>
          <w:sz w:val="20"/>
          <w:szCs w:val="20"/>
        </w:rPr>
        <w:t>1</w:t>
      </w:r>
      <w:r w:rsidRPr="0022232C">
        <w:rPr>
          <w:rFonts w:ascii="Times New Roman" w:eastAsia="Times New Roman" w:hAnsi="Times New Roman" w:cs="Times New Roman"/>
          <w:sz w:val="20"/>
          <w:szCs w:val="20"/>
        </w:rPr>
        <w:t xml:space="preserve">). </w:t>
      </w:r>
      <w:r w:rsidR="00D6675D">
        <w:rPr>
          <w:rFonts w:ascii="Times New Roman" w:eastAsia="Times New Roman" w:hAnsi="Times New Roman" w:cs="Times New Roman"/>
          <w:sz w:val="20"/>
          <w:szCs w:val="20"/>
        </w:rPr>
        <w:t xml:space="preserve">The area </w:t>
      </w:r>
      <w:r w:rsidRPr="0022232C">
        <w:rPr>
          <w:rFonts w:ascii="Times New Roman" w:eastAsia="Times New Roman" w:hAnsi="Times New Roman" w:cs="Times New Roman"/>
          <w:sz w:val="20"/>
          <w:szCs w:val="20"/>
        </w:rPr>
        <w:t xml:space="preserve">starts from Kamwangi town and ends at the Kirohi </w:t>
      </w:r>
      <w:r w:rsidRPr="000053B1">
        <w:rPr>
          <w:rFonts w:ascii="Times New Roman" w:eastAsia="Times New Roman" w:hAnsi="Times New Roman" w:cs="Times New Roman"/>
          <w:sz w:val="20"/>
          <w:szCs w:val="20"/>
        </w:rPr>
        <w:t>stream. The</w:t>
      </w:r>
      <w:r w:rsidRPr="0022232C">
        <w:rPr>
          <w:rFonts w:ascii="Times New Roman" w:eastAsia="Times New Roman" w:hAnsi="Times New Roman" w:cs="Times New Roman"/>
          <w:sz w:val="20"/>
          <w:szCs w:val="20"/>
        </w:rPr>
        <w:t xml:space="preserve"> Ndarugu River, a tributary of the Athi River, provides fresh water to Juja and Ruiru towns, local institutions, and irrigated farms. </w:t>
      </w:r>
      <w:r w:rsidR="00482EB6">
        <w:rPr>
          <w:rFonts w:ascii="Times New Roman" w:eastAsia="Times New Roman" w:hAnsi="Times New Roman" w:cs="Times New Roman"/>
          <w:sz w:val="20"/>
          <w:szCs w:val="20"/>
        </w:rPr>
        <w:t xml:space="preserve">Besides, the river </w:t>
      </w:r>
      <w:r w:rsidRPr="0022232C">
        <w:rPr>
          <w:rFonts w:ascii="Times New Roman" w:eastAsia="Times New Roman" w:hAnsi="Times New Roman" w:cs="Times New Roman"/>
          <w:sz w:val="20"/>
          <w:szCs w:val="20"/>
        </w:rPr>
        <w:t>receives industrial effluent and raw agrochemicals.</w:t>
      </w:r>
    </w:p>
    <w:p w14:paraId="2025F7BF" w14:textId="77777777" w:rsidR="00456A34" w:rsidRPr="0022232C" w:rsidRDefault="00456A34" w:rsidP="001F77C2">
      <w:pPr>
        <w:spacing w:after="0" w:line="480" w:lineRule="auto"/>
        <w:jc w:val="both"/>
        <w:rPr>
          <w:rFonts w:ascii="Times New Roman" w:eastAsia="Times New Roman" w:hAnsi="Times New Roman" w:cs="Times New Roman"/>
          <w:sz w:val="20"/>
          <w:szCs w:val="20"/>
        </w:rPr>
      </w:pPr>
    </w:p>
    <w:p w14:paraId="4894A965" w14:textId="77777777" w:rsidR="00972D15" w:rsidRPr="000053B1" w:rsidRDefault="00972D15" w:rsidP="00456A34">
      <w:pPr>
        <w:pStyle w:val="NormalWeb"/>
        <w:spacing w:before="0" w:after="0" w:line="480" w:lineRule="auto"/>
        <w:rPr>
          <w:sz w:val="20"/>
          <w:szCs w:val="20"/>
        </w:rPr>
      </w:pPr>
      <w:r w:rsidRPr="000053B1">
        <w:rPr>
          <w:noProof/>
          <w:sz w:val="20"/>
          <w:szCs w:val="20"/>
          <w:lang w:val="en-US"/>
        </w:rPr>
        <w:drawing>
          <wp:inline distT="0" distB="0" distL="0" distR="0" wp14:anchorId="19E999B4" wp14:editId="20850CAE">
            <wp:extent cx="5286375" cy="30194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21438" t="22536" r="22391" b="16947"/>
                    <a:stretch>
                      <a:fillRect/>
                    </a:stretch>
                  </pic:blipFill>
                  <pic:spPr>
                    <a:xfrm>
                      <a:off x="0" y="0"/>
                      <a:ext cx="5287131" cy="3019857"/>
                    </a:xfrm>
                    <a:prstGeom prst="rect">
                      <a:avLst/>
                    </a:prstGeom>
                    <a:noFill/>
                    <a:ln>
                      <a:noFill/>
                      <a:prstDash/>
                    </a:ln>
                  </pic:spPr>
                </pic:pic>
              </a:graphicData>
            </a:graphic>
          </wp:inline>
        </w:drawing>
      </w:r>
    </w:p>
    <w:p w14:paraId="0A3352C6" w14:textId="72864260" w:rsidR="00972D15" w:rsidRDefault="00972D15" w:rsidP="00972D15">
      <w:pPr>
        <w:pStyle w:val="Caption"/>
        <w:keepNext/>
        <w:spacing w:line="480" w:lineRule="auto"/>
        <w:ind w:firstLine="0"/>
        <w:rPr>
          <w:sz w:val="20"/>
          <w:szCs w:val="20"/>
        </w:rPr>
      </w:pPr>
      <w:r w:rsidRPr="000053B1">
        <w:rPr>
          <w:sz w:val="20"/>
          <w:szCs w:val="20"/>
        </w:rPr>
        <w:t xml:space="preserve">               Fig. 2.</w:t>
      </w:r>
      <w:r w:rsidR="00445A15">
        <w:rPr>
          <w:sz w:val="20"/>
          <w:szCs w:val="20"/>
        </w:rPr>
        <w:t>1</w:t>
      </w:r>
      <w:r w:rsidRPr="000053B1">
        <w:rPr>
          <w:sz w:val="20"/>
          <w:szCs w:val="20"/>
        </w:rPr>
        <w:t xml:space="preserve">. Locational map of the study area (Source by the Author, 2015).  </w:t>
      </w:r>
    </w:p>
    <w:p w14:paraId="23AD434E" w14:textId="77777777" w:rsidR="00F969C2" w:rsidRPr="00F969C2" w:rsidRDefault="00F969C2" w:rsidP="00F969C2">
      <w:pPr>
        <w:rPr>
          <w:lang w:val="en-GB" w:bidi="en-US"/>
        </w:rPr>
      </w:pPr>
    </w:p>
    <w:p w14:paraId="442BA750" w14:textId="77777777" w:rsidR="00DB3C0D" w:rsidRPr="006B7B2C" w:rsidRDefault="00DB3C0D" w:rsidP="00DB3C0D">
      <w:pPr>
        <w:rPr>
          <w:sz w:val="4"/>
          <w:szCs w:val="4"/>
          <w:lang w:val="en-GB" w:bidi="en-US"/>
        </w:rPr>
      </w:pPr>
    </w:p>
    <w:p w14:paraId="6DFB298E" w14:textId="77777777" w:rsidR="00972D15" w:rsidRPr="000053B1" w:rsidRDefault="00972D15" w:rsidP="00972D15">
      <w:pPr>
        <w:spacing w:line="480" w:lineRule="auto"/>
        <w:jc w:val="both"/>
        <w:rPr>
          <w:rFonts w:ascii="Times New Roman" w:hAnsi="Times New Roman" w:cs="Times New Roman"/>
          <w:b/>
          <w:bCs/>
          <w:sz w:val="20"/>
          <w:szCs w:val="20"/>
        </w:rPr>
      </w:pPr>
      <w:r w:rsidRPr="000053B1">
        <w:rPr>
          <w:rFonts w:ascii="Times New Roman" w:hAnsi="Times New Roman" w:cs="Times New Roman"/>
          <w:b/>
          <w:bCs/>
          <w:sz w:val="20"/>
          <w:szCs w:val="20"/>
        </w:rPr>
        <w:t>2.2</w:t>
      </w:r>
      <w:r w:rsidRPr="000053B1">
        <w:rPr>
          <w:rFonts w:ascii="Times New Roman" w:hAnsi="Times New Roman" w:cs="Times New Roman"/>
          <w:b/>
          <w:bCs/>
          <w:sz w:val="20"/>
          <w:szCs w:val="20"/>
        </w:rPr>
        <w:tab/>
        <w:t xml:space="preserve">Physical characteristics of the Ndarugu – Thiririka sub-catchments </w:t>
      </w:r>
    </w:p>
    <w:p w14:paraId="561F0051" w14:textId="77777777" w:rsidR="006B7B2C" w:rsidRDefault="00FA288A" w:rsidP="00FA288A">
      <w:pPr>
        <w:spacing w:line="480" w:lineRule="auto"/>
        <w:jc w:val="both"/>
        <w:rPr>
          <w:rFonts w:ascii="Times New Roman" w:hAnsi="Times New Roman" w:cs="Times New Roman"/>
          <w:sz w:val="20"/>
          <w:szCs w:val="20"/>
        </w:rPr>
      </w:pPr>
      <w:r w:rsidRPr="000053B1">
        <w:rPr>
          <w:rFonts w:ascii="Times New Roman" w:hAnsi="Times New Roman" w:cs="Times New Roman"/>
          <w:sz w:val="20"/>
          <w:szCs w:val="20"/>
        </w:rPr>
        <w:t xml:space="preserve">The Ndarugu - Thiririka sub-catchments experience a highland climate with abundant rainfall and moderate temperatures that increase with altitude. The sub-catchments are situated between 1500 and 2000 meters above sea level. </w:t>
      </w:r>
    </w:p>
    <w:p w14:paraId="78C2053D" w14:textId="549E408B" w:rsidR="00FA288A" w:rsidRDefault="00FA288A" w:rsidP="00FA288A">
      <w:pPr>
        <w:spacing w:line="480" w:lineRule="auto"/>
        <w:jc w:val="both"/>
        <w:rPr>
          <w:rFonts w:ascii="Times New Roman" w:hAnsi="Times New Roman" w:cs="Times New Roman"/>
          <w:sz w:val="20"/>
          <w:szCs w:val="20"/>
        </w:rPr>
      </w:pPr>
      <w:r w:rsidRPr="000053B1">
        <w:rPr>
          <w:rFonts w:ascii="Times New Roman" w:hAnsi="Times New Roman" w:cs="Times New Roman"/>
          <w:sz w:val="20"/>
          <w:szCs w:val="20"/>
        </w:rPr>
        <w:lastRenderedPageBreak/>
        <w:t xml:space="preserve">Climate change has caused the rainy seasons to occur outside their usual timeframe, leading to shifts and fluctuations in the rainfall patterns (Wambugu, 2017). In forested areas, the annual minimum average, and maximum temperatures are 7.5°C, 12.9°C and 18°C respectively. </w:t>
      </w:r>
    </w:p>
    <w:p w14:paraId="3AE4DF93" w14:textId="3B17D4FA" w:rsidR="00FA288A" w:rsidRDefault="00FA288A" w:rsidP="00FA288A">
      <w:pPr>
        <w:spacing w:line="480" w:lineRule="auto"/>
        <w:jc w:val="both"/>
        <w:rPr>
          <w:rFonts w:ascii="Times New Roman" w:hAnsi="Times New Roman" w:cs="Times New Roman"/>
          <w:sz w:val="20"/>
          <w:szCs w:val="20"/>
        </w:rPr>
      </w:pPr>
      <w:r w:rsidRPr="000053B1">
        <w:rPr>
          <w:rFonts w:ascii="Times New Roman" w:hAnsi="Times New Roman" w:cs="Times New Roman"/>
          <w:sz w:val="20"/>
          <w:szCs w:val="20"/>
        </w:rPr>
        <w:t xml:space="preserve">According to Mungai (2015), soil fertility ranges from high to low, with the mountain soils consisting of olivine basalts and old volcanic ash. These soils are acidic, shallow, and leach quickly. They are categorized as Humic Andosols, which are moderate to highly fertile in the lower elevations and are dark, red, well-drained nitisols with over 30% clay content and blocky structure. </w:t>
      </w:r>
    </w:p>
    <w:p w14:paraId="3EC63019" w14:textId="4306A384" w:rsidR="00972D15" w:rsidRPr="000053B1" w:rsidRDefault="00972D15" w:rsidP="00972D15">
      <w:pPr>
        <w:spacing w:line="480" w:lineRule="auto"/>
        <w:jc w:val="both"/>
        <w:rPr>
          <w:rFonts w:ascii="Times New Roman" w:hAnsi="Times New Roman" w:cs="Times New Roman"/>
          <w:sz w:val="20"/>
          <w:szCs w:val="20"/>
        </w:rPr>
      </w:pPr>
      <w:r w:rsidRPr="000053B1">
        <w:rPr>
          <w:rFonts w:ascii="Times New Roman" w:hAnsi="Times New Roman" w:cs="Times New Roman"/>
          <w:b/>
          <w:bCs/>
          <w:sz w:val="20"/>
          <w:szCs w:val="20"/>
        </w:rPr>
        <w:t>3.1</w:t>
      </w:r>
      <w:r w:rsidRPr="000053B1">
        <w:rPr>
          <w:rFonts w:ascii="Times New Roman" w:hAnsi="Times New Roman" w:cs="Times New Roman"/>
          <w:b/>
          <w:bCs/>
          <w:sz w:val="20"/>
          <w:szCs w:val="20"/>
        </w:rPr>
        <w:tab/>
      </w:r>
      <w:r w:rsidR="00DD55D2" w:rsidRPr="000053B1">
        <w:rPr>
          <w:rFonts w:ascii="Times New Roman" w:hAnsi="Times New Roman" w:cs="Times New Roman"/>
          <w:b/>
          <w:bCs/>
          <w:sz w:val="20"/>
          <w:szCs w:val="20"/>
        </w:rPr>
        <w:t xml:space="preserve">The </w:t>
      </w:r>
      <w:r w:rsidR="00456A34">
        <w:rPr>
          <w:rFonts w:ascii="Times New Roman" w:hAnsi="Times New Roman" w:cs="Times New Roman"/>
          <w:b/>
          <w:bCs/>
          <w:sz w:val="20"/>
          <w:szCs w:val="20"/>
        </w:rPr>
        <w:t xml:space="preserve">structure of the </w:t>
      </w:r>
      <w:r w:rsidR="00DD55D2" w:rsidRPr="000053B1">
        <w:rPr>
          <w:rFonts w:ascii="Times New Roman" w:hAnsi="Times New Roman" w:cs="Times New Roman"/>
          <w:b/>
          <w:bCs/>
          <w:sz w:val="20"/>
          <w:szCs w:val="20"/>
        </w:rPr>
        <w:t>SWAT</w:t>
      </w:r>
      <w:r w:rsidRPr="000053B1">
        <w:rPr>
          <w:rFonts w:ascii="Times New Roman" w:hAnsi="Times New Roman" w:cs="Times New Roman"/>
          <w:b/>
          <w:bCs/>
          <w:sz w:val="20"/>
          <w:szCs w:val="20"/>
        </w:rPr>
        <w:t xml:space="preserve"> model</w:t>
      </w:r>
    </w:p>
    <w:p w14:paraId="567E7B0C" w14:textId="001BC6E8" w:rsidR="00445A15" w:rsidRDefault="00806C8A" w:rsidP="00972D15">
      <w:pPr>
        <w:spacing w:after="0" w:line="480" w:lineRule="auto"/>
        <w:jc w:val="both"/>
        <w:rPr>
          <w:rFonts w:ascii="Times New Roman" w:hAnsi="Times New Roman" w:cs="Times New Roman"/>
          <w:color w:val="1F1F1F"/>
          <w:sz w:val="20"/>
          <w:szCs w:val="20"/>
          <w:shd w:val="clear" w:color="auto" w:fill="FFFFFF"/>
        </w:rPr>
      </w:pPr>
      <w:r w:rsidRPr="00806C8A">
        <w:rPr>
          <w:rFonts w:ascii="Times New Roman" w:hAnsi="Times New Roman" w:cs="Times New Roman"/>
          <w:color w:val="1F1F1F"/>
          <w:sz w:val="20"/>
          <w:szCs w:val="20"/>
          <w:shd w:val="clear" w:color="auto" w:fill="FFFFFF"/>
        </w:rPr>
        <w:t xml:space="preserve">The Soil &amp; Water Assessment Tool (SWAT) is a small-scale model for simulating the quantity and quality of surface and groundwater and the environmental effects of land use, land management practices, and climate change. The model </w:t>
      </w:r>
      <w:r>
        <w:rPr>
          <w:rFonts w:ascii="Times New Roman" w:hAnsi="Times New Roman" w:cs="Times New Roman"/>
          <w:color w:val="1F1F1F"/>
          <w:sz w:val="20"/>
          <w:szCs w:val="20"/>
          <w:shd w:val="clear" w:color="auto" w:fill="FFFFFF"/>
        </w:rPr>
        <w:t xml:space="preserve">is </w:t>
      </w:r>
      <w:r w:rsidRPr="00806C8A">
        <w:rPr>
          <w:rFonts w:ascii="Times New Roman" w:hAnsi="Times New Roman" w:cs="Times New Roman"/>
          <w:color w:val="1F1F1F"/>
          <w:sz w:val="20"/>
          <w:szCs w:val="20"/>
          <w:shd w:val="clear" w:color="auto" w:fill="FFFFFF"/>
        </w:rPr>
        <w:t xml:space="preserve">employed to simulate anything from a river basin to a watershed. </w:t>
      </w:r>
      <w:r w:rsidR="006B7B2C">
        <w:rPr>
          <w:rFonts w:ascii="Times New Roman" w:hAnsi="Times New Roman" w:cs="Times New Roman"/>
          <w:color w:val="1F1F1F"/>
          <w:sz w:val="20"/>
          <w:szCs w:val="20"/>
          <w:shd w:val="clear" w:color="auto" w:fill="FFFFFF"/>
        </w:rPr>
        <w:t xml:space="preserve">Besides, </w:t>
      </w:r>
      <w:r>
        <w:rPr>
          <w:rFonts w:ascii="Times New Roman" w:hAnsi="Times New Roman" w:cs="Times New Roman"/>
          <w:color w:val="1F1F1F"/>
          <w:sz w:val="20"/>
          <w:szCs w:val="20"/>
          <w:shd w:val="clear" w:color="auto" w:fill="FFFFFF"/>
        </w:rPr>
        <w:t xml:space="preserve">the model </w:t>
      </w:r>
      <w:r w:rsidRPr="00806C8A">
        <w:rPr>
          <w:rFonts w:ascii="Times New Roman" w:hAnsi="Times New Roman" w:cs="Times New Roman"/>
          <w:color w:val="1F1F1F"/>
          <w:sz w:val="20"/>
          <w:szCs w:val="20"/>
          <w:shd w:val="clear" w:color="auto" w:fill="FFFFFF"/>
        </w:rPr>
        <w:t xml:space="preserve">frequently </w:t>
      </w:r>
      <w:r>
        <w:rPr>
          <w:rFonts w:ascii="Times New Roman" w:hAnsi="Times New Roman" w:cs="Times New Roman"/>
          <w:color w:val="1F1F1F"/>
          <w:sz w:val="20"/>
          <w:szCs w:val="20"/>
          <w:shd w:val="clear" w:color="auto" w:fill="FFFFFF"/>
        </w:rPr>
        <w:t xml:space="preserve">evaluates </w:t>
      </w:r>
      <w:r w:rsidRPr="00806C8A">
        <w:rPr>
          <w:rFonts w:ascii="Times New Roman" w:hAnsi="Times New Roman" w:cs="Times New Roman"/>
          <w:color w:val="1F1F1F"/>
          <w:sz w:val="20"/>
          <w:szCs w:val="20"/>
          <w:shd w:val="clear" w:color="auto" w:fill="FFFFFF"/>
        </w:rPr>
        <w:t xml:space="preserve">soil erosion prevention and control, non-point source pollution control, and </w:t>
      </w:r>
      <w:r>
        <w:rPr>
          <w:rFonts w:ascii="Times New Roman" w:hAnsi="Times New Roman" w:cs="Times New Roman"/>
          <w:color w:val="1F1F1F"/>
          <w:sz w:val="20"/>
          <w:szCs w:val="20"/>
          <w:shd w:val="clear" w:color="auto" w:fill="FFFFFF"/>
        </w:rPr>
        <w:t xml:space="preserve">water </w:t>
      </w:r>
      <w:r w:rsidR="000F6BCA" w:rsidRPr="000F6BCA">
        <w:rPr>
          <w:rFonts w:ascii="Times New Roman" w:hAnsi="Times New Roman" w:cs="Times New Roman"/>
          <w:color w:val="1F1F1F"/>
          <w:sz w:val="20"/>
          <w:szCs w:val="20"/>
          <w:shd w:val="clear" w:color="auto" w:fill="FFFFFF"/>
        </w:rPr>
        <w:t>(</w:t>
      </w:r>
      <w:r w:rsidR="00624B1B">
        <w:rPr>
          <w:rFonts w:ascii="Times New Roman" w:hAnsi="Times New Roman" w:cs="Times New Roman"/>
          <w:color w:val="1F1F1F"/>
          <w:sz w:val="20"/>
          <w:szCs w:val="20"/>
          <w:shd w:val="clear" w:color="auto" w:fill="FFFFFF"/>
        </w:rPr>
        <w:t xml:space="preserve">Maforikan </w:t>
      </w:r>
      <w:r w:rsidR="00624B1B" w:rsidRPr="00624B1B">
        <w:rPr>
          <w:rFonts w:ascii="Times New Roman" w:hAnsi="Times New Roman" w:cs="Times New Roman"/>
          <w:i/>
          <w:iCs/>
          <w:color w:val="1F1F1F"/>
          <w:sz w:val="20"/>
          <w:szCs w:val="20"/>
          <w:shd w:val="clear" w:color="auto" w:fill="FFFFFF"/>
        </w:rPr>
        <w:t>et al</w:t>
      </w:r>
      <w:r w:rsidR="00624B1B">
        <w:rPr>
          <w:rFonts w:ascii="Times New Roman" w:hAnsi="Times New Roman" w:cs="Times New Roman"/>
          <w:color w:val="1F1F1F"/>
          <w:sz w:val="20"/>
          <w:szCs w:val="20"/>
          <w:shd w:val="clear" w:color="auto" w:fill="FFFFFF"/>
        </w:rPr>
        <w:t>., 2023</w:t>
      </w:r>
      <w:r w:rsidR="000F6BCA" w:rsidRPr="000F6BCA">
        <w:rPr>
          <w:rFonts w:ascii="Times New Roman" w:hAnsi="Times New Roman" w:cs="Times New Roman"/>
          <w:color w:val="1F1F1F"/>
          <w:sz w:val="20"/>
          <w:szCs w:val="20"/>
          <w:shd w:val="clear" w:color="auto" w:fill="FFFFFF"/>
        </w:rPr>
        <w:t xml:space="preserve">). </w:t>
      </w:r>
      <w:r w:rsidR="00392D22">
        <w:rPr>
          <w:rFonts w:ascii="Times New Roman" w:hAnsi="Times New Roman" w:cs="Times New Roman"/>
          <w:color w:val="1F1F1F"/>
          <w:sz w:val="20"/>
          <w:szCs w:val="20"/>
          <w:shd w:val="clear" w:color="auto" w:fill="FFFFFF"/>
        </w:rPr>
        <w:t xml:space="preserve">resources </w:t>
      </w:r>
      <w:r w:rsidR="00392D22" w:rsidRPr="00806C8A">
        <w:rPr>
          <w:rFonts w:ascii="Times New Roman" w:hAnsi="Times New Roman" w:cs="Times New Roman"/>
          <w:color w:val="1F1F1F"/>
          <w:sz w:val="20"/>
          <w:szCs w:val="20"/>
          <w:shd w:val="clear" w:color="auto" w:fill="FFFFFF"/>
        </w:rPr>
        <w:t>management in watersheds</w:t>
      </w:r>
    </w:p>
    <w:p w14:paraId="44AA64A2" w14:textId="77777777" w:rsidR="00F43B74" w:rsidRPr="00F43B74" w:rsidRDefault="00F43B74" w:rsidP="00972D15">
      <w:pPr>
        <w:spacing w:after="0" w:line="480" w:lineRule="auto"/>
        <w:jc w:val="both"/>
        <w:rPr>
          <w:rFonts w:ascii="Times New Roman" w:hAnsi="Times New Roman" w:cs="Times New Roman"/>
          <w:color w:val="1F1F1F"/>
          <w:sz w:val="4"/>
          <w:szCs w:val="4"/>
          <w:shd w:val="clear" w:color="auto" w:fill="FFFFFF"/>
        </w:rPr>
      </w:pPr>
    </w:p>
    <w:p w14:paraId="6423D29F" w14:textId="77777777" w:rsidR="000220A8" w:rsidRPr="000220A8" w:rsidRDefault="000220A8" w:rsidP="00972D15">
      <w:pPr>
        <w:spacing w:after="0" w:line="480" w:lineRule="auto"/>
        <w:jc w:val="both"/>
        <w:rPr>
          <w:rFonts w:ascii="Times New Roman" w:hAnsi="Times New Roman" w:cs="Times New Roman"/>
          <w:color w:val="1F1F1F"/>
          <w:sz w:val="10"/>
          <w:szCs w:val="10"/>
          <w:shd w:val="clear" w:color="auto" w:fill="FFFFFF"/>
        </w:rPr>
      </w:pPr>
    </w:p>
    <w:p w14:paraId="4D8F85B3" w14:textId="12B76D1B" w:rsidR="00392D22" w:rsidRDefault="002D4D55" w:rsidP="00972D15">
      <w:pPr>
        <w:spacing w:after="0" w:line="480" w:lineRule="auto"/>
        <w:jc w:val="both"/>
        <w:rPr>
          <w:rFonts w:ascii="Times New Roman" w:hAnsi="Times New Roman" w:cs="Times New Roman"/>
          <w:sz w:val="20"/>
          <w:szCs w:val="20"/>
        </w:rPr>
      </w:pPr>
      <w:r w:rsidRPr="002D4D55">
        <w:rPr>
          <w:rFonts w:ascii="Times New Roman" w:hAnsi="Times New Roman" w:cs="Times New Roman"/>
          <w:sz w:val="20"/>
          <w:szCs w:val="20"/>
        </w:rPr>
        <w:t xml:space="preserve">The SWAT model forecasts the effects of land management decisions on sediment levels, agricultural chemical usage, and both the quality and quantity of water, employing quasi-physical principles (Ullrich and Volk, 2009). </w:t>
      </w:r>
      <w:r w:rsidR="00392D22" w:rsidRPr="00392D22">
        <w:rPr>
          <w:rFonts w:ascii="Times New Roman" w:hAnsi="Times New Roman" w:cs="Times New Roman"/>
          <w:sz w:val="20"/>
          <w:szCs w:val="20"/>
        </w:rPr>
        <w:t xml:space="preserve">Usually, the simulations' output is analyzed and generated using the ArcSWAT interface of the SWAT model. The ArcSWAT is licensed to run on the ArcGIS platform and is available to the general public. </w:t>
      </w:r>
    </w:p>
    <w:p w14:paraId="21E14E52" w14:textId="77777777" w:rsidR="00836DB9" w:rsidRPr="00836DB9" w:rsidRDefault="00836DB9" w:rsidP="00972D15">
      <w:pPr>
        <w:spacing w:after="0" w:line="480" w:lineRule="auto"/>
        <w:jc w:val="both"/>
        <w:rPr>
          <w:rFonts w:ascii="Times New Roman" w:hAnsi="Times New Roman" w:cs="Times New Roman"/>
          <w:sz w:val="6"/>
          <w:szCs w:val="6"/>
        </w:rPr>
      </w:pPr>
    </w:p>
    <w:p w14:paraId="2C267094" w14:textId="7E37E784" w:rsidR="00B94FD1" w:rsidRDefault="00836DB9" w:rsidP="00B94FD1">
      <w:pPr>
        <w:spacing w:after="0" w:line="480" w:lineRule="auto"/>
        <w:jc w:val="both"/>
        <w:rPr>
          <w:rFonts w:ascii="Times New Roman" w:hAnsi="Times New Roman" w:cs="Times New Roman"/>
          <w:color w:val="0E101A"/>
          <w:sz w:val="20"/>
          <w:szCs w:val="20"/>
        </w:rPr>
      </w:pPr>
      <w:r w:rsidRPr="00836DB9">
        <w:rPr>
          <w:rFonts w:ascii="Times New Roman" w:hAnsi="Times New Roman" w:cs="Times New Roman"/>
          <w:sz w:val="20"/>
          <w:szCs w:val="20"/>
          <w:shd w:val="clear" w:color="auto" w:fill="FFFFFF"/>
        </w:rPr>
        <w:t xml:space="preserve">Besides, the SWAT model analyzes data and simulates surface runoff, canopy storage, and drainage systems, water allocation, soil profiles, consumptive use, return flow, and recharge from surface water bodies, ponds, and tributary channels. </w:t>
      </w:r>
      <w:r w:rsidR="00B94FD1">
        <w:rPr>
          <w:rFonts w:ascii="Times New Roman" w:hAnsi="Times New Roman" w:cs="Times New Roman"/>
          <w:sz w:val="20"/>
          <w:szCs w:val="20"/>
          <w:shd w:val="clear" w:color="auto" w:fill="FFFFFF"/>
        </w:rPr>
        <w:t xml:space="preserve"> </w:t>
      </w:r>
      <w:r w:rsidR="00392D22" w:rsidRPr="00D05C9F">
        <w:rPr>
          <w:sz w:val="20"/>
          <w:szCs w:val="20"/>
        </w:rPr>
        <w:t>Because the model is computationally efficient and physically based, the SWAT model may be used to examine long-</w:t>
      </w:r>
      <w:r w:rsidR="00392D22" w:rsidRPr="00B94FD1">
        <w:rPr>
          <w:rFonts w:ascii="Times New Roman" w:hAnsi="Times New Roman" w:cs="Times New Roman"/>
          <w:sz w:val="20"/>
          <w:szCs w:val="20"/>
        </w:rPr>
        <w:t xml:space="preserve">term effects on land and soil management (Olivera and Srinivasan, 2004).  </w:t>
      </w:r>
      <w:r w:rsidR="00D05C9F" w:rsidRPr="00B94FD1">
        <w:rPr>
          <w:rFonts w:ascii="Times New Roman" w:hAnsi="Times New Roman" w:cs="Times New Roman"/>
          <w:color w:val="0E101A"/>
          <w:sz w:val="20"/>
          <w:szCs w:val="20"/>
        </w:rPr>
        <w:t xml:space="preserve">According to Tanguy </w:t>
      </w:r>
      <w:r w:rsidR="00D05C9F" w:rsidRPr="00B94FD1">
        <w:rPr>
          <w:rFonts w:ascii="Times New Roman" w:hAnsi="Times New Roman" w:cs="Times New Roman"/>
          <w:i/>
          <w:iCs/>
          <w:color w:val="0E101A"/>
          <w:sz w:val="20"/>
          <w:szCs w:val="20"/>
        </w:rPr>
        <w:t>et al</w:t>
      </w:r>
      <w:r w:rsidR="00D05C9F" w:rsidRPr="00B94FD1">
        <w:rPr>
          <w:rFonts w:ascii="Times New Roman" w:hAnsi="Times New Roman" w:cs="Times New Roman"/>
          <w:color w:val="0E101A"/>
          <w:sz w:val="20"/>
          <w:szCs w:val="20"/>
        </w:rPr>
        <w:t>. (2022), the SWAT model divides catchments or basins into small sub-catchments and tiny spatial units called Hydrological Response Units (HRUs).</w:t>
      </w:r>
    </w:p>
    <w:p w14:paraId="41B9BE8B" w14:textId="77777777" w:rsidR="00B94FD1" w:rsidRPr="00B94FD1" w:rsidRDefault="00B94FD1" w:rsidP="00B94FD1">
      <w:pPr>
        <w:spacing w:after="0" w:line="480" w:lineRule="auto"/>
        <w:jc w:val="both"/>
        <w:rPr>
          <w:rFonts w:ascii="Times New Roman" w:hAnsi="Times New Roman" w:cs="Times New Roman"/>
          <w:color w:val="0E101A"/>
          <w:sz w:val="6"/>
          <w:szCs w:val="6"/>
        </w:rPr>
      </w:pPr>
    </w:p>
    <w:p w14:paraId="5CB3F12B" w14:textId="77777777" w:rsidR="00B94FD1" w:rsidRDefault="00D05C9F" w:rsidP="00BD6CDB">
      <w:pPr>
        <w:spacing w:after="0" w:line="480" w:lineRule="auto"/>
        <w:jc w:val="both"/>
        <w:rPr>
          <w:rFonts w:ascii="Times New Roman" w:hAnsi="Times New Roman" w:cs="Times New Roman"/>
          <w:sz w:val="20"/>
          <w:szCs w:val="20"/>
        </w:rPr>
      </w:pPr>
      <w:r w:rsidRPr="00B94FD1">
        <w:rPr>
          <w:rFonts w:ascii="Times New Roman" w:hAnsi="Times New Roman" w:cs="Times New Roman"/>
          <w:color w:val="0E101A"/>
          <w:sz w:val="20"/>
          <w:szCs w:val="20"/>
        </w:rPr>
        <w:t xml:space="preserve">The HRUs are defined by specific characteristics related to soils, slopes, and land use within a subbasin </w:t>
      </w:r>
      <w:r w:rsidR="00624B1B" w:rsidRPr="00B94FD1">
        <w:rPr>
          <w:rFonts w:ascii="Times New Roman" w:hAnsi="Times New Roman" w:cs="Times New Roman"/>
          <w:sz w:val="20"/>
          <w:szCs w:val="20"/>
        </w:rPr>
        <w:t xml:space="preserve">(Poblete </w:t>
      </w:r>
      <w:r w:rsidR="00624B1B" w:rsidRPr="00B94FD1">
        <w:rPr>
          <w:rFonts w:ascii="Times New Roman" w:hAnsi="Times New Roman" w:cs="Times New Roman"/>
          <w:i/>
          <w:iCs/>
          <w:sz w:val="20"/>
          <w:szCs w:val="20"/>
        </w:rPr>
        <w:t>et al.,</w:t>
      </w:r>
      <w:r w:rsidR="00624B1B" w:rsidRPr="00B94FD1">
        <w:rPr>
          <w:rFonts w:ascii="Times New Roman" w:hAnsi="Times New Roman" w:cs="Times New Roman"/>
          <w:sz w:val="20"/>
          <w:szCs w:val="20"/>
        </w:rPr>
        <w:t xml:space="preserve"> 2020)</w:t>
      </w:r>
      <w:r w:rsidR="00646106" w:rsidRPr="00B94FD1">
        <w:rPr>
          <w:rFonts w:ascii="Times New Roman" w:hAnsi="Times New Roman" w:cs="Times New Roman"/>
          <w:sz w:val="20"/>
          <w:szCs w:val="20"/>
        </w:rPr>
        <w:t>.</w:t>
      </w:r>
      <w:r w:rsidR="00270E60" w:rsidRPr="00B94FD1">
        <w:rPr>
          <w:rFonts w:ascii="Times New Roman" w:hAnsi="Times New Roman" w:cs="Times New Roman"/>
          <w:sz w:val="20"/>
          <w:szCs w:val="20"/>
        </w:rPr>
        <w:t xml:space="preserve"> </w:t>
      </w:r>
      <w:r w:rsidRPr="00D05C9F">
        <w:rPr>
          <w:rFonts w:ascii="Times New Roman" w:hAnsi="Times New Roman" w:cs="Times New Roman"/>
          <w:sz w:val="20"/>
          <w:szCs w:val="20"/>
        </w:rPr>
        <w:t xml:space="preserve">The SWAT model's primary driving force is water balance, which influences the flow of nutrients, pathogens, pesticides, sediments, and plant growth (Al-Kubaisi and Al-Kubaisi, 2023). </w:t>
      </w:r>
    </w:p>
    <w:p w14:paraId="78128202" w14:textId="65AA98C7" w:rsidR="00161172" w:rsidRDefault="00D05C9F" w:rsidP="00BD6CDB">
      <w:pPr>
        <w:spacing w:after="0" w:line="480" w:lineRule="auto"/>
        <w:jc w:val="both"/>
        <w:rPr>
          <w:rFonts w:ascii="Times New Roman" w:hAnsi="Times New Roman" w:cs="Times New Roman"/>
          <w:sz w:val="20"/>
          <w:szCs w:val="20"/>
        </w:rPr>
      </w:pPr>
      <w:r w:rsidRPr="00D05C9F">
        <w:rPr>
          <w:rFonts w:ascii="Times New Roman" w:hAnsi="Times New Roman" w:cs="Times New Roman"/>
          <w:sz w:val="20"/>
          <w:szCs w:val="20"/>
        </w:rPr>
        <w:lastRenderedPageBreak/>
        <w:t xml:space="preserve">The model simulates essential hydrological components such as surface runoff, percolation, evapotranspiration, flow through shallow and deep aquifers, infiltration, and channel routing (Srinivasan </w:t>
      </w:r>
      <w:r w:rsidRPr="00A12BF5">
        <w:rPr>
          <w:rFonts w:ascii="Times New Roman" w:hAnsi="Times New Roman" w:cs="Times New Roman"/>
          <w:i/>
          <w:iCs/>
          <w:sz w:val="20"/>
          <w:szCs w:val="20"/>
        </w:rPr>
        <w:t>et al.,</w:t>
      </w:r>
      <w:r w:rsidRPr="00D05C9F">
        <w:rPr>
          <w:rFonts w:ascii="Times New Roman" w:hAnsi="Times New Roman" w:cs="Times New Roman"/>
          <w:sz w:val="20"/>
          <w:szCs w:val="20"/>
        </w:rPr>
        <w:t xml:space="preserve"> 1998).</w:t>
      </w:r>
    </w:p>
    <w:p w14:paraId="5BBADCD8" w14:textId="77777777" w:rsidR="003A26AC" w:rsidRPr="003A26AC" w:rsidRDefault="003A26AC" w:rsidP="00972D15">
      <w:pPr>
        <w:spacing w:after="0" w:line="480" w:lineRule="auto"/>
        <w:jc w:val="both"/>
        <w:rPr>
          <w:rFonts w:ascii="Times New Roman" w:eastAsia="Times New Roman" w:hAnsi="Times New Roman" w:cs="Times New Roman"/>
          <w:b/>
          <w:bCs/>
          <w:color w:val="0E101A"/>
          <w:sz w:val="10"/>
          <w:szCs w:val="10"/>
        </w:rPr>
      </w:pPr>
      <w:bookmarkStart w:id="1" w:name="_Hlk95255225"/>
    </w:p>
    <w:p w14:paraId="09D10885" w14:textId="51BBDC8E" w:rsidR="00972D15" w:rsidRPr="000053B1" w:rsidRDefault="00972D15" w:rsidP="00972D15">
      <w:pPr>
        <w:spacing w:after="0" w:line="480" w:lineRule="auto"/>
        <w:jc w:val="both"/>
        <w:rPr>
          <w:rFonts w:ascii="Times New Roman" w:hAnsi="Times New Roman" w:cs="Times New Roman"/>
          <w:sz w:val="20"/>
          <w:szCs w:val="20"/>
        </w:rPr>
      </w:pPr>
      <w:r w:rsidRPr="000053B1">
        <w:rPr>
          <w:rFonts w:ascii="Times New Roman" w:eastAsia="Times New Roman" w:hAnsi="Times New Roman" w:cs="Times New Roman"/>
          <w:b/>
          <w:bCs/>
          <w:color w:val="0E101A"/>
          <w:sz w:val="20"/>
          <w:szCs w:val="20"/>
        </w:rPr>
        <w:t>3.2</w:t>
      </w:r>
      <w:r w:rsidRPr="000053B1">
        <w:rPr>
          <w:rFonts w:ascii="Times New Roman" w:eastAsia="Times New Roman" w:hAnsi="Times New Roman" w:cs="Times New Roman"/>
          <w:b/>
          <w:bCs/>
          <w:color w:val="0E101A"/>
          <w:sz w:val="20"/>
          <w:szCs w:val="20"/>
        </w:rPr>
        <w:tab/>
        <w:t xml:space="preserve">The elements of the sub-basins </w:t>
      </w:r>
      <w:r w:rsidR="003A26AC" w:rsidRPr="000053B1">
        <w:rPr>
          <w:rFonts w:ascii="Times New Roman" w:eastAsia="Times New Roman" w:hAnsi="Times New Roman" w:cs="Times New Roman"/>
          <w:b/>
          <w:bCs/>
          <w:color w:val="0E101A"/>
          <w:sz w:val="20"/>
          <w:szCs w:val="20"/>
        </w:rPr>
        <w:t>in SWAT</w:t>
      </w:r>
      <w:r w:rsidRPr="000053B1">
        <w:rPr>
          <w:rFonts w:ascii="Times New Roman" w:eastAsia="Times New Roman" w:hAnsi="Times New Roman" w:cs="Times New Roman"/>
          <w:b/>
          <w:bCs/>
          <w:color w:val="0E101A"/>
          <w:sz w:val="20"/>
          <w:szCs w:val="20"/>
        </w:rPr>
        <w:t xml:space="preserve"> model </w:t>
      </w:r>
    </w:p>
    <w:p w14:paraId="33409F26" w14:textId="0146E7B7" w:rsidR="00972D15" w:rsidRDefault="00972D15" w:rsidP="00972D15">
      <w:pPr>
        <w:spacing w:after="0" w:line="480" w:lineRule="auto"/>
        <w:jc w:val="both"/>
        <w:rPr>
          <w:rFonts w:ascii="Times New Roman" w:eastAsia="Times New Roman" w:hAnsi="Times New Roman" w:cs="Times New Roman"/>
          <w:color w:val="0E101A"/>
          <w:sz w:val="20"/>
          <w:szCs w:val="20"/>
        </w:rPr>
      </w:pPr>
      <w:r w:rsidRPr="000053B1">
        <w:rPr>
          <w:rFonts w:ascii="Times New Roman" w:eastAsia="Times New Roman" w:hAnsi="Times New Roman" w:cs="Times New Roman"/>
          <w:color w:val="0E101A"/>
          <w:sz w:val="20"/>
          <w:szCs w:val="20"/>
        </w:rPr>
        <w:t>As described below, these important elements of the sub-basin included soil hydrology, surface runoff, and evapotranspiration:</w:t>
      </w:r>
    </w:p>
    <w:p w14:paraId="183409C3" w14:textId="77777777" w:rsidR="009C00C7" w:rsidRPr="009C00C7" w:rsidRDefault="009C00C7" w:rsidP="00972D15">
      <w:pPr>
        <w:spacing w:after="0" w:line="480" w:lineRule="auto"/>
        <w:jc w:val="both"/>
        <w:rPr>
          <w:rFonts w:ascii="Times New Roman" w:eastAsia="Times New Roman" w:hAnsi="Times New Roman" w:cs="Times New Roman"/>
          <w:color w:val="0E101A"/>
          <w:sz w:val="2"/>
          <w:szCs w:val="2"/>
        </w:rPr>
      </w:pPr>
    </w:p>
    <w:p w14:paraId="197185B1" w14:textId="77777777" w:rsidR="009F65A5" w:rsidRDefault="00972D15" w:rsidP="009F65A5">
      <w:pPr>
        <w:spacing w:after="0" w:line="480" w:lineRule="auto"/>
        <w:jc w:val="both"/>
        <w:rPr>
          <w:rFonts w:ascii="Times New Roman" w:hAnsi="Times New Roman" w:cs="Times New Roman"/>
          <w:b/>
          <w:bCs/>
          <w:sz w:val="20"/>
          <w:szCs w:val="20"/>
        </w:rPr>
      </w:pPr>
      <w:r w:rsidRPr="000053B1">
        <w:rPr>
          <w:rFonts w:ascii="Times New Roman" w:hAnsi="Times New Roman" w:cs="Times New Roman"/>
          <w:b/>
          <w:bCs/>
          <w:sz w:val="20"/>
          <w:szCs w:val="20"/>
        </w:rPr>
        <w:t>3.2.1</w:t>
      </w:r>
      <w:r w:rsidRPr="000053B1">
        <w:rPr>
          <w:rFonts w:ascii="Times New Roman" w:hAnsi="Times New Roman" w:cs="Times New Roman"/>
          <w:b/>
          <w:bCs/>
          <w:sz w:val="20"/>
          <w:szCs w:val="20"/>
        </w:rPr>
        <w:tab/>
        <w:t>Soil hydrology</w:t>
      </w:r>
    </w:p>
    <w:p w14:paraId="045CCE5B" w14:textId="096248BD" w:rsidR="00972D15" w:rsidRPr="000053B1" w:rsidRDefault="00972D15" w:rsidP="009F65A5">
      <w:pPr>
        <w:spacing w:after="0" w:line="480" w:lineRule="auto"/>
        <w:jc w:val="both"/>
        <w:rPr>
          <w:rFonts w:ascii="Times New Roman" w:hAnsi="Times New Roman" w:cs="Times New Roman"/>
          <w:sz w:val="20"/>
          <w:szCs w:val="20"/>
        </w:rPr>
      </w:pPr>
      <w:r w:rsidRPr="000053B1">
        <w:rPr>
          <w:rFonts w:ascii="Times New Roman" w:hAnsi="Times New Roman" w:cs="Times New Roman"/>
          <w:sz w:val="20"/>
          <w:szCs w:val="20"/>
        </w:rPr>
        <w:t xml:space="preserve">The SWAT model simulates the hydrologic cycle based on the water balance equation. According to Neitsch </w:t>
      </w:r>
      <w:r w:rsidRPr="000053B1">
        <w:rPr>
          <w:rFonts w:ascii="Times New Roman" w:hAnsi="Times New Roman" w:cs="Times New Roman"/>
          <w:i/>
          <w:iCs/>
          <w:sz w:val="20"/>
          <w:szCs w:val="20"/>
        </w:rPr>
        <w:t>et al.</w:t>
      </w:r>
      <w:r w:rsidRPr="000053B1">
        <w:rPr>
          <w:rFonts w:ascii="Times New Roman" w:hAnsi="Times New Roman" w:cs="Times New Roman"/>
          <w:sz w:val="20"/>
          <w:szCs w:val="20"/>
        </w:rPr>
        <w:t xml:space="preserve"> (201</w:t>
      </w:r>
      <w:r w:rsidR="00A12BF5">
        <w:rPr>
          <w:rFonts w:ascii="Times New Roman" w:hAnsi="Times New Roman" w:cs="Times New Roman"/>
          <w:sz w:val="20"/>
          <w:szCs w:val="20"/>
        </w:rPr>
        <w:t>1</w:t>
      </w:r>
      <w:r w:rsidRPr="000053B1">
        <w:rPr>
          <w:rFonts w:ascii="Times New Roman" w:hAnsi="Times New Roman" w:cs="Times New Roman"/>
          <w:sz w:val="20"/>
          <w:szCs w:val="20"/>
        </w:rPr>
        <w:t>), the model’s description of the hydrological process is based on the following derived equation of the water balance:</w:t>
      </w:r>
    </w:p>
    <w:p w14:paraId="77653E97" w14:textId="778F6EB7" w:rsidR="00972D15" w:rsidRPr="000053B1" w:rsidRDefault="00B86247" w:rsidP="00972D15">
      <w:pPr>
        <w:spacing w:after="0" w:line="480" w:lineRule="auto"/>
        <w:ind w:firstLine="720"/>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SW</m:t>
              </m:r>
            </m:e>
            <m:sub>
              <m:r>
                <w:rPr>
                  <w:rFonts w:ascii="Cambria Math" w:hAnsi="Cambria Math" w:cs="Times New Roman"/>
                  <w:sz w:val="20"/>
                  <w:szCs w:val="20"/>
                </w:rPr>
                <m:t>o</m:t>
              </m:r>
            </m:sub>
          </m:sSub>
          <m:r>
            <w:rPr>
              <w:rFonts w:ascii="Cambria Math" w:hAnsi="Cambria Math" w:cs="Times New Roman"/>
              <w:sz w:val="20"/>
              <w:szCs w:val="20"/>
            </w:rPr>
            <m:t>+</m:t>
          </m:r>
          <m:nary>
            <m:naryPr>
              <m:chr m:val="∑"/>
              <m:limLoc m:val="undOvr"/>
              <m:ctrlPr>
                <w:rPr>
                  <w:rFonts w:ascii="Cambria Math" w:hAnsi="Cambria Math" w:cs="Times New Roman"/>
                  <w:sz w:val="20"/>
                  <w:szCs w:val="20"/>
                </w:rPr>
              </m:ctrlPr>
            </m:naryPr>
            <m:sub>
              <m:r>
                <w:rPr>
                  <w:rFonts w:ascii="Cambria Math" w:hAnsi="Cambria Math" w:cs="Times New Roman"/>
                  <w:sz w:val="20"/>
                  <w:szCs w:val="20"/>
                </w:rPr>
                <m:t>i=1</m:t>
              </m:r>
            </m:sub>
            <m:sup>
              <m:r>
                <w:rPr>
                  <w:rFonts w:ascii="Cambria Math" w:hAnsi="Cambria Math" w:cs="Times New Roman"/>
                  <w:sz w:val="20"/>
                  <w:szCs w:val="20"/>
                </w:rPr>
                <m:t>t</m:t>
              </m:r>
            </m:sup>
            <m:e>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day</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surface</m:t>
                  </m:r>
                </m:sub>
              </m:sSub>
            </m:e>
          </m:nary>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seep</m:t>
              </m:r>
            </m:sub>
          </m:sSub>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gw</m:t>
              </m:r>
            </m:sub>
          </m:sSub>
          <m:sSub>
            <m:sSubPr>
              <m:ctrlPr>
                <w:rPr>
                  <w:rFonts w:ascii="Cambria Math" w:hAnsi="Cambria Math" w:cs="Times New Roman"/>
                  <w:sz w:val="20"/>
                  <w:szCs w:val="20"/>
                </w:rPr>
              </m:ctrlPr>
            </m:sSubPr>
            <m:e>
              <m:r>
                <w:rPr>
                  <w:rFonts w:ascii="Cambria Math" w:hAnsi="Cambria Math" w:cs="Times New Roman"/>
                  <w:sz w:val="20"/>
                  <w:szCs w:val="20"/>
                </w:rPr>
                <m:t>)</m:t>
              </m:r>
            </m:e>
            <m:sub>
              <m:r>
                <w:rPr>
                  <w:rFonts w:ascii="Cambria Math" w:hAnsi="Cambria Math" w:cs="Times New Roman"/>
                  <w:sz w:val="20"/>
                  <w:szCs w:val="20"/>
                </w:rPr>
                <m:t>i…………………………………………………….…………….</m:t>
              </m:r>
            </m:sub>
          </m:sSub>
          <m:r>
            <m:rPr>
              <m:sty m:val="p"/>
            </m:rPr>
            <w:rPr>
              <w:rFonts w:ascii="Cambria Math" w:hAnsi="Cambria Math" w:cs="Times New Roman"/>
              <w:sz w:val="20"/>
              <w:szCs w:val="20"/>
            </w:rPr>
            <m:t xml:space="preserve"> </m:t>
          </m:r>
          <m:r>
            <w:rPr>
              <w:rFonts w:ascii="Cambria Math" w:hAnsi="Cambria Math" w:cs="Times New Roman"/>
              <w:sz w:val="20"/>
              <w:szCs w:val="20"/>
            </w:rPr>
            <m:t>1</m:t>
          </m:r>
        </m:oMath>
      </m:oMathPara>
    </w:p>
    <w:p w14:paraId="021F1647" w14:textId="77777777" w:rsidR="00972D15" w:rsidRPr="000053B1" w:rsidRDefault="00972D15" w:rsidP="00972D15">
      <w:pPr>
        <w:spacing w:after="0" w:line="480" w:lineRule="auto"/>
        <w:rPr>
          <w:rFonts w:ascii="Times New Roman" w:hAnsi="Times New Roman" w:cs="Times New Roman"/>
          <w:sz w:val="20"/>
          <w:szCs w:val="20"/>
        </w:rPr>
      </w:pPr>
      <w:r w:rsidRPr="000053B1">
        <w:rPr>
          <w:rFonts w:ascii="Times New Roman" w:hAnsi="Times New Roman" w:cs="Times New Roman"/>
          <w:b/>
          <w:bCs/>
          <w:sz w:val="20"/>
          <w:szCs w:val="20"/>
        </w:rPr>
        <w:t>Where:</w:t>
      </w:r>
    </w:p>
    <w:p w14:paraId="7DA65929" w14:textId="77777777" w:rsidR="00972D15" w:rsidRPr="000053B1" w:rsidRDefault="00B86247" w:rsidP="00972D15">
      <w:pPr>
        <w:spacing w:line="360" w:lineRule="auto"/>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SW</m:t>
            </m:r>
          </m:e>
          <m:sub>
            <m:r>
              <w:rPr>
                <w:rFonts w:ascii="Cambria Math" w:hAnsi="Cambria Math" w:cs="Times New Roman"/>
                <w:sz w:val="20"/>
                <w:szCs w:val="20"/>
              </w:rPr>
              <m:t>t</m:t>
            </m:r>
          </m:sub>
        </m:sSub>
        <m:r>
          <w:rPr>
            <w:rFonts w:ascii="Cambria Math" w:hAnsi="Cambria Math" w:cs="Times New Roman"/>
            <w:sz w:val="20"/>
            <w:szCs w:val="20"/>
          </w:rPr>
          <m:t xml:space="preserve"> is the final water content of the soil (mm)</m:t>
        </m:r>
      </m:oMath>
      <w:r w:rsidR="00972D15" w:rsidRPr="000053B1">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w:rPr>
                <w:rFonts w:ascii="Cambria Math" w:hAnsi="Cambria Math" w:cs="Times New Roman"/>
                <w:sz w:val="20"/>
                <w:szCs w:val="20"/>
              </w:rPr>
              <m:t>SW</m:t>
            </m:r>
          </m:e>
          <m:sub>
            <m:r>
              <w:rPr>
                <w:rFonts w:ascii="Cambria Math" w:hAnsi="Cambria Math" w:cs="Times New Roman"/>
                <w:sz w:val="20"/>
                <w:szCs w:val="20"/>
              </w:rPr>
              <m:t>O</m:t>
            </m:r>
          </m:sub>
        </m:sSub>
        <m:r>
          <w:rPr>
            <w:rFonts w:ascii="Cambria Math" w:hAnsi="Cambria Math" w:cs="Times New Roman"/>
            <w:sz w:val="20"/>
            <w:szCs w:val="20"/>
          </w:rPr>
          <m:t xml:space="preserve"> is the final water content of the soil (mm)</m:t>
        </m:r>
      </m:oMath>
    </w:p>
    <w:p w14:paraId="71B78303" w14:textId="77777777" w:rsidR="00972D15" w:rsidRPr="000053B1" w:rsidRDefault="00972D15" w:rsidP="00972D15">
      <w:pPr>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t is the period of time in days, </m:t>
          </m:r>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day</m:t>
              </m:r>
            </m:sub>
          </m:sSub>
          <m:r>
            <w:rPr>
              <w:rFonts w:ascii="Cambria Math" w:hAnsi="Cambria Math" w:cs="Times New Roman"/>
              <w:sz w:val="20"/>
              <w:szCs w:val="20"/>
            </w:rPr>
            <m:t xml:space="preserve"> is the amount of precipitation in a day, i ( mm)</m:t>
          </m:r>
        </m:oMath>
      </m:oMathPara>
    </w:p>
    <w:p w14:paraId="282A0A72" w14:textId="77777777" w:rsidR="00972D15" w:rsidRPr="000053B1" w:rsidRDefault="00B86247" w:rsidP="00972D15">
      <w:pPr>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surf</m:t>
              </m:r>
            </m:sub>
          </m:sSub>
          <m:r>
            <w:rPr>
              <w:rFonts w:ascii="Cambria Math" w:hAnsi="Cambria Math" w:cs="Times New Roman"/>
              <w:sz w:val="20"/>
              <w:szCs w:val="20"/>
            </w:rPr>
            <m:t xml:space="preserve"> is the amount of surface runoff in a day (mm water)</m:t>
          </m:r>
        </m:oMath>
      </m:oMathPara>
    </w:p>
    <w:p w14:paraId="6FDF70BB" w14:textId="77777777" w:rsidR="00972D15" w:rsidRPr="000053B1" w:rsidRDefault="00B86247" w:rsidP="00972D15">
      <w:pPr>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 xml:space="preserve">a </m:t>
              </m:r>
            </m:sub>
          </m:sSub>
          <m:r>
            <w:rPr>
              <w:rFonts w:ascii="Cambria Math" w:hAnsi="Cambria Math" w:cs="Times New Roman"/>
              <w:sz w:val="20"/>
              <w:szCs w:val="20"/>
            </w:rPr>
            <m:t>is the amount of evapotranspiration in a day (mm)</m:t>
          </m:r>
        </m:oMath>
      </m:oMathPara>
    </w:p>
    <w:p w14:paraId="69F4B469" w14:textId="77777777" w:rsidR="00972D15" w:rsidRPr="000053B1" w:rsidRDefault="00B86247" w:rsidP="00972D15">
      <w:pPr>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seep</m:t>
              </m:r>
            </m:sub>
          </m:sSub>
          <m:r>
            <w:rPr>
              <w:rFonts w:ascii="Cambria Math" w:hAnsi="Cambria Math" w:cs="Times New Roman"/>
              <w:sz w:val="20"/>
              <w:szCs w:val="20"/>
            </w:rPr>
            <m:t xml:space="preserve"> is the amount of water entering the vadoze zone from the soil in a day (mm)</m:t>
          </m:r>
        </m:oMath>
      </m:oMathPara>
    </w:p>
    <w:p w14:paraId="6BBA115C" w14:textId="77777777" w:rsidR="00972D15" w:rsidRPr="000053B1" w:rsidRDefault="00B86247" w:rsidP="00972D15">
      <w:pPr>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gw</m:t>
              </m:r>
            </m:sub>
          </m:sSub>
          <m:r>
            <w:rPr>
              <w:rFonts w:ascii="Cambria Math" w:hAnsi="Cambria Math" w:cs="Times New Roman"/>
              <w:sz w:val="20"/>
              <w:szCs w:val="20"/>
            </w:rPr>
            <m:t xml:space="preserve"> is the amount of return flow in a day, i (mm)</m:t>
          </m:r>
        </m:oMath>
      </m:oMathPara>
    </w:p>
    <w:p w14:paraId="5C38E1DE" w14:textId="77777777" w:rsidR="00972D15" w:rsidRPr="00CF3B5A" w:rsidRDefault="00972D15" w:rsidP="00972D15">
      <w:pPr>
        <w:rPr>
          <w:rFonts w:ascii="Times New Roman" w:hAnsi="Times New Roman" w:cs="Times New Roman"/>
          <w:sz w:val="6"/>
          <w:szCs w:val="6"/>
          <w:shd w:val="clear" w:color="auto" w:fill="FFFF00"/>
        </w:rPr>
      </w:pPr>
    </w:p>
    <w:p w14:paraId="0D3DEDC6" w14:textId="77777777" w:rsidR="00972D15" w:rsidRDefault="00972D15" w:rsidP="00972D15">
      <w:pPr>
        <w:spacing w:after="0" w:line="480" w:lineRule="auto"/>
        <w:jc w:val="both"/>
        <w:rPr>
          <w:rFonts w:ascii="Times New Roman" w:hAnsi="Times New Roman"/>
          <w:b/>
          <w:bCs/>
          <w:sz w:val="20"/>
          <w:szCs w:val="20"/>
        </w:rPr>
      </w:pPr>
      <w:r>
        <w:rPr>
          <w:rFonts w:ascii="Times New Roman" w:hAnsi="Times New Roman"/>
          <w:b/>
          <w:bCs/>
          <w:sz w:val="20"/>
          <w:szCs w:val="20"/>
        </w:rPr>
        <w:t>3.2.2</w:t>
      </w:r>
      <w:r>
        <w:rPr>
          <w:rFonts w:ascii="Times New Roman" w:hAnsi="Times New Roman"/>
          <w:b/>
          <w:bCs/>
          <w:sz w:val="20"/>
          <w:szCs w:val="20"/>
        </w:rPr>
        <w:tab/>
        <w:t>Surface runoff in SWAT model</w:t>
      </w:r>
    </w:p>
    <w:p w14:paraId="59285809" w14:textId="77777777" w:rsidR="00B42AA6" w:rsidRPr="009F65A5" w:rsidRDefault="00B42AA6" w:rsidP="009F65A5">
      <w:pPr>
        <w:spacing w:after="0" w:line="480" w:lineRule="auto"/>
        <w:ind w:firstLine="720"/>
        <w:jc w:val="both"/>
        <w:rPr>
          <w:rFonts w:ascii="Times New Roman" w:hAnsi="Times New Roman"/>
          <w:sz w:val="4"/>
          <w:szCs w:val="4"/>
          <w:highlight w:val="yellow"/>
        </w:rPr>
      </w:pPr>
    </w:p>
    <w:p w14:paraId="1BD77C87" w14:textId="33CE364B" w:rsidR="00972D15" w:rsidRDefault="00972D15" w:rsidP="00972D15">
      <w:pPr>
        <w:spacing w:after="0" w:line="480" w:lineRule="auto"/>
        <w:jc w:val="both"/>
      </w:pPr>
      <w:r w:rsidRPr="00B42AA6">
        <w:rPr>
          <w:rFonts w:ascii="Times New Roman" w:hAnsi="Times New Roman"/>
          <w:sz w:val="20"/>
          <w:szCs w:val="20"/>
        </w:rPr>
        <w:t xml:space="preserve">The SWAT model </w:t>
      </w:r>
      <w:r w:rsidR="00B42AA6" w:rsidRPr="00B42AA6">
        <w:rPr>
          <w:rFonts w:ascii="Times New Roman" w:hAnsi="Times New Roman"/>
          <w:sz w:val="20"/>
          <w:szCs w:val="20"/>
        </w:rPr>
        <w:t>divides precipitation</w:t>
      </w:r>
      <w:r w:rsidRPr="00B42AA6">
        <w:rPr>
          <w:rFonts w:ascii="Times New Roman" w:hAnsi="Times New Roman"/>
          <w:sz w:val="20"/>
          <w:szCs w:val="20"/>
        </w:rPr>
        <w:t xml:space="preserve"> into infiltration, which reaches a stream </w:t>
      </w:r>
      <w:r w:rsidR="008F6ACF">
        <w:rPr>
          <w:rFonts w:ascii="Times New Roman" w:hAnsi="Times New Roman"/>
          <w:sz w:val="20"/>
          <w:szCs w:val="20"/>
        </w:rPr>
        <w:t xml:space="preserve">through </w:t>
      </w:r>
      <w:r w:rsidRPr="00B42AA6">
        <w:rPr>
          <w:rFonts w:ascii="Times New Roman" w:hAnsi="Times New Roman"/>
          <w:sz w:val="20"/>
          <w:szCs w:val="20"/>
        </w:rPr>
        <w:t xml:space="preserve">flow channels, and overland </w:t>
      </w:r>
      <w:r w:rsidR="006C47DB" w:rsidRPr="00B42AA6">
        <w:rPr>
          <w:rFonts w:ascii="Times New Roman" w:hAnsi="Times New Roman"/>
          <w:sz w:val="20"/>
          <w:szCs w:val="20"/>
        </w:rPr>
        <w:t>runoff</w:t>
      </w:r>
      <w:r w:rsidR="006C47DB">
        <w:rPr>
          <w:rFonts w:ascii="Times New Roman" w:hAnsi="Times New Roman"/>
          <w:sz w:val="20"/>
          <w:szCs w:val="20"/>
        </w:rPr>
        <w:t xml:space="preserve"> </w:t>
      </w:r>
      <w:r w:rsidR="006C47DB" w:rsidRPr="00B42AA6">
        <w:rPr>
          <w:rFonts w:ascii="Times New Roman" w:hAnsi="Times New Roman"/>
          <w:sz w:val="20"/>
          <w:szCs w:val="20"/>
        </w:rPr>
        <w:t>using</w:t>
      </w:r>
      <w:r w:rsidRPr="00B42AA6">
        <w:rPr>
          <w:rFonts w:ascii="Times New Roman" w:hAnsi="Times New Roman"/>
          <w:sz w:val="20"/>
          <w:szCs w:val="20"/>
        </w:rPr>
        <w:t xml:space="preserve"> the </w:t>
      </w:r>
      <w:r w:rsidR="006C47DB">
        <w:rPr>
          <w:rFonts w:ascii="Times New Roman" w:hAnsi="Times New Roman"/>
          <w:sz w:val="20"/>
          <w:szCs w:val="20"/>
        </w:rPr>
        <w:t>Curve</w:t>
      </w:r>
      <w:r w:rsidRPr="00B42AA6">
        <w:rPr>
          <w:rFonts w:ascii="Times New Roman" w:hAnsi="Times New Roman"/>
          <w:sz w:val="20"/>
          <w:szCs w:val="20"/>
        </w:rPr>
        <w:t xml:space="preserve"> Number (CN) approach (Neitsch </w:t>
      </w:r>
      <w:r w:rsidRPr="00F969C2">
        <w:rPr>
          <w:rFonts w:ascii="Times New Roman" w:hAnsi="Times New Roman"/>
          <w:i/>
          <w:iCs/>
          <w:sz w:val="20"/>
          <w:szCs w:val="20"/>
        </w:rPr>
        <w:t>et al.</w:t>
      </w:r>
      <w:r w:rsidRPr="00B42AA6">
        <w:rPr>
          <w:rFonts w:ascii="Times New Roman" w:hAnsi="Times New Roman"/>
          <w:sz w:val="20"/>
          <w:szCs w:val="20"/>
        </w:rPr>
        <w:t>, 20</w:t>
      </w:r>
      <w:r w:rsidR="00B42AA6" w:rsidRPr="00B42AA6">
        <w:rPr>
          <w:rFonts w:ascii="Times New Roman" w:hAnsi="Times New Roman"/>
          <w:sz w:val="20"/>
          <w:szCs w:val="20"/>
        </w:rPr>
        <w:t>1</w:t>
      </w:r>
      <w:r w:rsidR="00A12BF5">
        <w:rPr>
          <w:rFonts w:ascii="Times New Roman" w:hAnsi="Times New Roman"/>
          <w:sz w:val="20"/>
          <w:szCs w:val="20"/>
        </w:rPr>
        <w:t>1</w:t>
      </w:r>
      <w:r w:rsidRPr="00B42AA6">
        <w:rPr>
          <w:rFonts w:ascii="Times New Roman" w:hAnsi="Times New Roman"/>
          <w:sz w:val="20"/>
          <w:szCs w:val="20"/>
        </w:rPr>
        <w:t xml:space="preserve">). </w:t>
      </w:r>
      <w:r w:rsidR="00B42AA6" w:rsidRPr="00B42AA6">
        <w:rPr>
          <w:rFonts w:ascii="Times New Roman" w:hAnsi="Times New Roman"/>
          <w:sz w:val="20"/>
          <w:szCs w:val="20"/>
        </w:rPr>
        <w:t>The s</w:t>
      </w:r>
      <w:r w:rsidRPr="00B42AA6">
        <w:rPr>
          <w:rFonts w:ascii="Times New Roman" w:hAnsi="Times New Roman"/>
          <w:sz w:val="20"/>
          <w:szCs w:val="20"/>
        </w:rPr>
        <w:t xml:space="preserve">urface runoff volumes for each Hydrologic Response Unit </w:t>
      </w:r>
      <w:proofErr w:type="gramStart"/>
      <w:r w:rsidR="00836DB9">
        <w:rPr>
          <w:rFonts w:ascii="Times New Roman" w:hAnsi="Times New Roman"/>
          <w:sz w:val="20"/>
          <w:szCs w:val="20"/>
        </w:rPr>
        <w:t>is</w:t>
      </w:r>
      <w:proofErr w:type="gramEnd"/>
      <w:r w:rsidR="00836DB9">
        <w:rPr>
          <w:rFonts w:ascii="Times New Roman" w:hAnsi="Times New Roman"/>
          <w:sz w:val="20"/>
          <w:szCs w:val="20"/>
        </w:rPr>
        <w:t xml:space="preserve"> </w:t>
      </w:r>
      <w:r w:rsidRPr="00B42AA6">
        <w:rPr>
          <w:rFonts w:ascii="Times New Roman" w:hAnsi="Times New Roman"/>
          <w:sz w:val="20"/>
          <w:szCs w:val="20"/>
        </w:rPr>
        <w:t>computed using the SCS – CN (curve number) approach.</w:t>
      </w:r>
      <w:r w:rsidR="00B42AA6" w:rsidRPr="00B42AA6">
        <w:rPr>
          <w:rFonts w:ascii="Times New Roman" w:hAnsi="Times New Roman"/>
          <w:sz w:val="20"/>
          <w:szCs w:val="20"/>
        </w:rPr>
        <w:t xml:space="preserve"> </w:t>
      </w:r>
      <w:r w:rsidRPr="00B42AA6">
        <w:rPr>
          <w:rFonts w:ascii="Times New Roman" w:hAnsi="Times New Roman"/>
          <w:sz w:val="20"/>
          <w:szCs w:val="20"/>
        </w:rPr>
        <w:t xml:space="preserve"> The following is the CN equation for estimating the total depth of runoff (Q) in mm of a watershed:</w:t>
      </w:r>
    </w:p>
    <w:p w14:paraId="34D11857" w14:textId="6FEFEC8F" w:rsidR="00972D15" w:rsidRPr="00CF3B5A" w:rsidRDefault="00972D15" w:rsidP="00972D15">
      <w:pPr>
        <w:spacing w:after="0" w:line="480" w:lineRule="auto"/>
        <w:rPr>
          <w:sz w:val="18"/>
          <w:szCs w:val="18"/>
        </w:rPr>
      </w:pPr>
      <m:oMathPara>
        <m:oMathParaPr>
          <m:jc m:val="left"/>
        </m:oMathParaPr>
        <m:oMath>
          <m:r>
            <w:rPr>
              <w:rFonts w:ascii="Cambria Math" w:hAnsi="Cambria Math"/>
              <w:sz w:val="20"/>
              <w:szCs w:val="20"/>
            </w:rPr>
            <m:t>Q=</m:t>
          </m:r>
          <m:f>
            <m:fPr>
              <m:ctrlPr>
                <w:rPr>
                  <w:rFonts w:ascii="Cambria Math" w:hAnsi="Cambria Math"/>
                  <w:sz w:val="20"/>
                  <w:szCs w:val="20"/>
                </w:rPr>
              </m:ctrlPr>
            </m:fPr>
            <m:num>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P-0.25</m:t>
                      </m:r>
                    </m:e>
                  </m:d>
                </m:e>
                <m:sup>
                  <m:r>
                    <w:rPr>
                      <w:rFonts w:ascii="Cambria Math" w:hAnsi="Cambria Math"/>
                      <w:sz w:val="20"/>
                      <w:szCs w:val="20"/>
                    </w:rPr>
                    <m:t>2</m:t>
                  </m:r>
                </m:sup>
              </m:sSup>
            </m:num>
            <m:den>
              <m:d>
                <m:dPr>
                  <m:ctrlPr>
                    <w:rPr>
                      <w:rFonts w:ascii="Cambria Math" w:hAnsi="Cambria Math"/>
                      <w:sz w:val="20"/>
                      <w:szCs w:val="20"/>
                    </w:rPr>
                  </m:ctrlPr>
                </m:dPr>
                <m:e>
                  <m:r>
                    <w:rPr>
                      <w:rFonts w:ascii="Cambria Math" w:hAnsi="Cambria Math"/>
                      <w:sz w:val="20"/>
                      <w:szCs w:val="20"/>
                    </w:rPr>
                    <m:t>P+0.8S</m:t>
                  </m:r>
                </m:e>
              </m:d>
            </m:den>
          </m:f>
          <m:r>
            <w:rPr>
              <w:rFonts w:ascii="Cambria Math" w:hAnsi="Cambria Math"/>
              <w:sz w:val="20"/>
              <w:szCs w:val="20"/>
            </w:rPr>
            <m:t>…………………………………………………………………………….2</m:t>
          </m:r>
        </m:oMath>
      </m:oMathPara>
    </w:p>
    <w:p w14:paraId="549F9E84" w14:textId="77777777" w:rsidR="00972D15" w:rsidRPr="00F969C2" w:rsidRDefault="00972D15" w:rsidP="00972D15">
      <w:pPr>
        <w:spacing w:after="0" w:line="480" w:lineRule="auto"/>
      </w:pPr>
      <m:oMathPara>
        <m:oMathParaPr>
          <m:jc m:val="left"/>
        </m:oMathParaPr>
        <m:oMath>
          <m:r>
            <w:rPr>
              <w:rFonts w:ascii="Cambria Math" w:hAnsi="Cambria Math"/>
            </w:rPr>
            <m:t>Where Q=0,   if P&lt;0.2S</m:t>
          </m:r>
        </m:oMath>
      </m:oMathPara>
    </w:p>
    <w:p w14:paraId="0A9110CA" w14:textId="77777777" w:rsidR="00972D15" w:rsidRPr="00F969C2" w:rsidRDefault="00972D15" w:rsidP="00972D15">
      <w:pPr>
        <w:spacing w:line="480" w:lineRule="auto"/>
      </w:pPr>
      <m:oMathPara>
        <m:oMathParaPr>
          <m:jc m:val="left"/>
        </m:oMathParaPr>
        <m:oMath>
          <m:r>
            <w:rPr>
              <w:rFonts w:ascii="Cambria Math" w:hAnsi="Cambria Math"/>
            </w:rPr>
            <m:t>S is given by:</m:t>
          </m:r>
        </m:oMath>
      </m:oMathPara>
    </w:p>
    <w:p w14:paraId="7A3DB8E5" w14:textId="2D22EE9E" w:rsidR="00972D15" w:rsidRPr="00CF3B5A" w:rsidRDefault="00972D15" w:rsidP="00972D15">
      <w:pPr>
        <w:spacing w:line="480" w:lineRule="auto"/>
        <w:rPr>
          <w:sz w:val="20"/>
          <w:szCs w:val="20"/>
        </w:rPr>
      </w:pPr>
      <m:oMath>
        <m:r>
          <w:rPr>
            <w:rFonts w:ascii="Cambria Math" w:hAnsi="Cambria Math"/>
            <w:sz w:val="24"/>
            <w:szCs w:val="24"/>
          </w:rPr>
          <w:lastRenderedPageBreak/>
          <m:t>S=</m:t>
        </m:r>
        <m:f>
          <m:fPr>
            <m:ctrlPr>
              <w:rPr>
                <w:rFonts w:ascii="Cambria Math" w:hAnsi="Cambria Math"/>
                <w:sz w:val="24"/>
                <w:szCs w:val="24"/>
              </w:rPr>
            </m:ctrlPr>
          </m:fPr>
          <m:num>
            <m:r>
              <w:rPr>
                <w:rFonts w:ascii="Cambria Math" w:hAnsi="Cambria Math"/>
                <w:sz w:val="24"/>
                <w:szCs w:val="24"/>
              </w:rPr>
              <m:t>1000</m:t>
            </m:r>
          </m:num>
          <m:den>
            <m:r>
              <w:rPr>
                <w:rFonts w:ascii="Cambria Math" w:hAnsi="Cambria Math"/>
                <w:sz w:val="24"/>
                <w:szCs w:val="24"/>
              </w:rPr>
              <m:t>CN</m:t>
            </m:r>
          </m:den>
        </m:f>
        <m:r>
          <w:rPr>
            <w:rFonts w:ascii="Cambria Math" w:hAnsi="Cambria Math"/>
            <w:sz w:val="24"/>
            <w:szCs w:val="24"/>
          </w:rPr>
          <m:t>-10……………………………</m:t>
        </m:r>
        <m:r>
          <w:rPr>
            <w:rFonts w:ascii="Cambria Math" w:hAnsi="Cambria Math"/>
            <w:sz w:val="24"/>
            <w:szCs w:val="24"/>
          </w:rPr>
          <m:t>…</m:t>
        </m:r>
        <m:r>
          <w:rPr>
            <w:rFonts w:ascii="Cambria Math" w:hAnsi="Cambria Math"/>
            <w:sz w:val="24"/>
            <w:szCs w:val="24"/>
          </w:rPr>
          <m:t>…………..………………………………………..3</m:t>
        </m:r>
      </m:oMath>
      <w:r w:rsidRPr="00CF3B5A">
        <w:rPr>
          <w:rFonts w:ascii="Times New Roman" w:hAnsi="Times New Roman"/>
          <w:i/>
          <w:sz w:val="20"/>
          <w:szCs w:val="20"/>
          <w:shd w:val="clear" w:color="auto" w:fill="FFFF00"/>
        </w:rPr>
        <w:t xml:space="preserve">        </w:t>
      </w:r>
    </w:p>
    <w:p w14:paraId="552F92F9" w14:textId="77777777" w:rsidR="00972D15" w:rsidRDefault="00972D15" w:rsidP="00972D15">
      <w:pPr>
        <w:spacing w:line="480" w:lineRule="auto"/>
        <w:rPr>
          <w:b/>
          <w:bCs/>
          <w:i/>
          <w:iCs/>
          <w:sz w:val="20"/>
          <w:szCs w:val="20"/>
        </w:rPr>
      </w:pPr>
      <w:r>
        <w:rPr>
          <w:b/>
          <w:bCs/>
          <w:i/>
          <w:iCs/>
          <w:sz w:val="20"/>
          <w:szCs w:val="20"/>
        </w:rPr>
        <w:t>Where:</w:t>
      </w:r>
    </w:p>
    <w:p w14:paraId="1D262C95" w14:textId="77777777" w:rsidR="00972D15" w:rsidRPr="00CF3B5A" w:rsidRDefault="00972D15" w:rsidP="00972D15">
      <w:pPr>
        <w:rPr>
          <w:sz w:val="20"/>
          <w:szCs w:val="20"/>
        </w:rPr>
      </w:pPr>
      <m:oMathPara>
        <m:oMathParaPr>
          <m:jc m:val="left"/>
        </m:oMathParaPr>
        <m:oMath>
          <m:r>
            <w:rPr>
              <w:rFonts w:ascii="Cambria Math" w:hAnsi="Cambria Math"/>
              <w:sz w:val="20"/>
              <w:szCs w:val="20"/>
            </w:rPr>
            <m:t>Q=is the volume of the runoff in mm</m:t>
          </m:r>
        </m:oMath>
      </m:oMathPara>
    </w:p>
    <w:p w14:paraId="5C89069A" w14:textId="07E9F3A6" w:rsidR="00972D15" w:rsidRPr="006C47DB" w:rsidRDefault="00972D15" w:rsidP="00972D15">
      <w:pPr>
        <w:rPr>
          <w:rFonts w:eastAsiaTheme="minorEastAsia"/>
          <w:sz w:val="20"/>
          <w:szCs w:val="20"/>
        </w:rPr>
      </w:pPr>
      <m:oMathPara>
        <m:oMathParaPr>
          <m:jc m:val="left"/>
        </m:oMathParaPr>
        <m:oMath>
          <m:r>
            <w:rPr>
              <w:rFonts w:ascii="Cambria Math" w:hAnsi="Cambria Math"/>
              <w:sz w:val="20"/>
              <w:szCs w:val="20"/>
            </w:rPr>
            <m:t>P=Rainfall or the precipitation (mm)</m:t>
          </m:r>
        </m:oMath>
      </m:oMathPara>
    </w:p>
    <w:p w14:paraId="3534EF50" w14:textId="77777777" w:rsidR="006C47DB" w:rsidRPr="002D0253" w:rsidRDefault="006C47DB" w:rsidP="00972D15">
      <w:pPr>
        <w:rPr>
          <w:rFonts w:eastAsiaTheme="minorEastAsia"/>
          <w:sz w:val="8"/>
          <w:szCs w:val="8"/>
        </w:rPr>
      </w:pPr>
    </w:p>
    <w:p w14:paraId="6C9184E1" w14:textId="77777777" w:rsidR="00F969C2" w:rsidRDefault="006C47DB" w:rsidP="006675C2">
      <w:pPr>
        <w:spacing w:after="0" w:line="480" w:lineRule="auto"/>
        <w:jc w:val="both"/>
        <w:rPr>
          <w:rFonts w:ascii="Times New Roman" w:eastAsia="Times New Roman" w:hAnsi="Times New Roman" w:cs="Times New Roman"/>
          <w:sz w:val="20"/>
          <w:szCs w:val="20"/>
        </w:rPr>
      </w:pPr>
      <w:r w:rsidRPr="006C47DB">
        <w:rPr>
          <w:rFonts w:ascii="Times New Roman" w:eastAsia="Times New Roman" w:hAnsi="Times New Roman" w:cs="Times New Roman"/>
          <w:sz w:val="20"/>
          <w:szCs w:val="20"/>
        </w:rPr>
        <w:t>The values of CN increase with an increase</w:t>
      </w:r>
      <w:r w:rsidR="002D0253">
        <w:rPr>
          <w:rFonts w:ascii="Times New Roman" w:eastAsia="Times New Roman" w:hAnsi="Times New Roman" w:cs="Times New Roman"/>
          <w:sz w:val="20"/>
          <w:szCs w:val="20"/>
        </w:rPr>
        <w:t>d</w:t>
      </w:r>
      <w:r w:rsidRPr="006C47DB">
        <w:rPr>
          <w:rFonts w:ascii="Times New Roman" w:eastAsia="Times New Roman" w:hAnsi="Times New Roman" w:cs="Times New Roman"/>
          <w:sz w:val="20"/>
          <w:szCs w:val="20"/>
        </w:rPr>
        <w:t xml:space="preserve"> runoff potential, and range</w:t>
      </w:r>
      <w:r w:rsidR="002B0BE3">
        <w:rPr>
          <w:rFonts w:ascii="Times New Roman" w:eastAsia="Times New Roman" w:hAnsi="Times New Roman" w:cs="Times New Roman"/>
          <w:sz w:val="20"/>
          <w:szCs w:val="20"/>
        </w:rPr>
        <w:t xml:space="preserve">s between </w:t>
      </w:r>
      <w:r w:rsidRPr="006C47DB">
        <w:rPr>
          <w:rFonts w:ascii="Times New Roman" w:eastAsia="Times New Roman" w:hAnsi="Times New Roman" w:cs="Times New Roman"/>
          <w:sz w:val="20"/>
          <w:szCs w:val="20"/>
        </w:rPr>
        <w:t xml:space="preserve">30 to 100. </w:t>
      </w:r>
      <w:r w:rsidR="002B0BE3">
        <w:rPr>
          <w:rFonts w:ascii="Times New Roman" w:eastAsia="Times New Roman" w:hAnsi="Times New Roman" w:cs="Times New Roman"/>
          <w:sz w:val="20"/>
          <w:szCs w:val="20"/>
        </w:rPr>
        <w:t xml:space="preserve">The </w:t>
      </w:r>
      <w:r w:rsidR="002B0BE3" w:rsidRPr="006C47DB">
        <w:rPr>
          <w:rFonts w:ascii="Times New Roman" w:eastAsia="Times New Roman" w:hAnsi="Times New Roman" w:cs="Times New Roman"/>
          <w:sz w:val="20"/>
          <w:szCs w:val="20"/>
        </w:rPr>
        <w:t>coefficient of variation (CN) is empirically estimated</w:t>
      </w:r>
      <w:r w:rsidR="002B0BE3">
        <w:rPr>
          <w:rFonts w:ascii="Times New Roman" w:eastAsia="Times New Roman" w:hAnsi="Times New Roman" w:cs="Times New Roman"/>
          <w:sz w:val="20"/>
          <w:szCs w:val="20"/>
        </w:rPr>
        <w:t xml:space="preserve"> using the </w:t>
      </w:r>
      <w:r w:rsidRPr="006C47DB">
        <w:rPr>
          <w:rFonts w:ascii="Times New Roman" w:eastAsia="Times New Roman" w:hAnsi="Times New Roman" w:cs="Times New Roman"/>
          <w:sz w:val="20"/>
          <w:szCs w:val="20"/>
        </w:rPr>
        <w:t xml:space="preserve">soil categories, surface characteristics </w:t>
      </w:r>
      <w:r w:rsidR="002B0BE3">
        <w:rPr>
          <w:rFonts w:ascii="Times New Roman" w:eastAsia="Times New Roman" w:hAnsi="Times New Roman" w:cs="Times New Roman"/>
          <w:sz w:val="20"/>
          <w:szCs w:val="20"/>
        </w:rPr>
        <w:t xml:space="preserve">such as </w:t>
      </w:r>
      <w:r w:rsidRPr="006C47DB">
        <w:rPr>
          <w:rFonts w:ascii="Times New Roman" w:eastAsia="Times New Roman" w:hAnsi="Times New Roman" w:cs="Times New Roman"/>
          <w:sz w:val="20"/>
          <w:szCs w:val="20"/>
        </w:rPr>
        <w:t xml:space="preserve">vegetation </w:t>
      </w:r>
      <w:r w:rsidR="002B0BE3" w:rsidRPr="006C47DB">
        <w:rPr>
          <w:rFonts w:ascii="Times New Roman" w:eastAsia="Times New Roman" w:hAnsi="Times New Roman" w:cs="Times New Roman"/>
          <w:sz w:val="20"/>
          <w:szCs w:val="20"/>
        </w:rPr>
        <w:t>cover</w:t>
      </w:r>
      <w:r w:rsidR="002B0BE3">
        <w:rPr>
          <w:rFonts w:ascii="Times New Roman" w:eastAsia="Times New Roman" w:hAnsi="Times New Roman" w:cs="Times New Roman"/>
          <w:sz w:val="20"/>
          <w:szCs w:val="20"/>
        </w:rPr>
        <w:t xml:space="preserve">, </w:t>
      </w:r>
      <w:r w:rsidR="002B0BE3" w:rsidRPr="006C47DB">
        <w:rPr>
          <w:rFonts w:ascii="Times New Roman" w:eastAsia="Times New Roman" w:hAnsi="Times New Roman" w:cs="Times New Roman"/>
          <w:sz w:val="20"/>
          <w:szCs w:val="20"/>
        </w:rPr>
        <w:t>impervious</w:t>
      </w:r>
      <w:r w:rsidRPr="006C47DB">
        <w:rPr>
          <w:rFonts w:ascii="Times New Roman" w:eastAsia="Times New Roman" w:hAnsi="Times New Roman" w:cs="Times New Roman"/>
          <w:sz w:val="20"/>
          <w:szCs w:val="20"/>
        </w:rPr>
        <w:t xml:space="preserve"> surface, and antecedent soil moisture </w:t>
      </w:r>
      <w:r w:rsidR="002B0BE3" w:rsidRPr="006C47DB">
        <w:rPr>
          <w:rFonts w:ascii="Times New Roman" w:eastAsia="Times New Roman" w:hAnsi="Times New Roman" w:cs="Times New Roman"/>
          <w:sz w:val="20"/>
          <w:szCs w:val="20"/>
        </w:rPr>
        <w:t>conditions,</w:t>
      </w:r>
      <w:r w:rsidRPr="006C47DB">
        <w:rPr>
          <w:rFonts w:ascii="Times New Roman" w:eastAsia="Times New Roman" w:hAnsi="Times New Roman" w:cs="Times New Roman"/>
          <w:sz w:val="20"/>
          <w:szCs w:val="20"/>
        </w:rPr>
        <w:t xml:space="preserve"> The SCS curve number serves as a tool for determining soil permeability, land use, and </w:t>
      </w:r>
      <w:r w:rsidR="002D0253">
        <w:rPr>
          <w:rFonts w:ascii="Times New Roman" w:eastAsia="Times New Roman" w:hAnsi="Times New Roman" w:cs="Times New Roman"/>
          <w:sz w:val="20"/>
          <w:szCs w:val="20"/>
        </w:rPr>
        <w:t xml:space="preserve">antecedent </w:t>
      </w:r>
      <w:r w:rsidRPr="006C47DB">
        <w:rPr>
          <w:rFonts w:ascii="Times New Roman" w:eastAsia="Times New Roman" w:hAnsi="Times New Roman" w:cs="Times New Roman"/>
          <w:sz w:val="20"/>
          <w:szCs w:val="20"/>
        </w:rPr>
        <w:t xml:space="preserve">soil water conditions. </w:t>
      </w:r>
    </w:p>
    <w:p w14:paraId="121F38DA" w14:textId="77777777" w:rsidR="00F969C2" w:rsidRPr="00F969C2" w:rsidRDefault="00F969C2" w:rsidP="006675C2">
      <w:pPr>
        <w:spacing w:after="0" w:line="480" w:lineRule="auto"/>
        <w:jc w:val="both"/>
        <w:rPr>
          <w:rFonts w:ascii="Times New Roman" w:eastAsia="Times New Roman" w:hAnsi="Times New Roman" w:cs="Times New Roman"/>
          <w:sz w:val="6"/>
          <w:szCs w:val="6"/>
        </w:rPr>
      </w:pPr>
    </w:p>
    <w:p w14:paraId="17B75C34" w14:textId="25A3A5E0" w:rsidR="00972D15" w:rsidRDefault="006B7B2C" w:rsidP="006675C2">
      <w:pPr>
        <w:spacing w:after="0" w:line="480" w:lineRule="auto"/>
        <w:jc w:val="both"/>
        <w:rPr>
          <w:rFonts w:ascii="Times New Roman" w:hAnsi="Times New Roman"/>
          <w:sz w:val="20"/>
          <w:szCs w:val="20"/>
        </w:rPr>
      </w:pPr>
      <w:r>
        <w:rPr>
          <w:rFonts w:ascii="Times New Roman" w:eastAsia="Times New Roman" w:hAnsi="Times New Roman" w:cs="Times New Roman"/>
          <w:sz w:val="20"/>
          <w:szCs w:val="20"/>
        </w:rPr>
        <w:t xml:space="preserve">According to Sharma </w:t>
      </w:r>
      <w:r w:rsidRPr="006B7B2C">
        <w:rPr>
          <w:rFonts w:ascii="Times New Roman" w:eastAsia="Times New Roman" w:hAnsi="Times New Roman" w:cs="Times New Roman"/>
          <w:i/>
          <w:iCs/>
          <w:sz w:val="20"/>
          <w:szCs w:val="20"/>
        </w:rPr>
        <w:t>et al.,</w:t>
      </w:r>
      <w:r>
        <w:rPr>
          <w:rFonts w:ascii="Times New Roman" w:eastAsia="Times New Roman" w:hAnsi="Times New Roman" w:cs="Times New Roman"/>
          <w:sz w:val="20"/>
          <w:szCs w:val="20"/>
        </w:rPr>
        <w:t xml:space="preserve"> (2020), the </w:t>
      </w:r>
      <w:r w:rsidR="00972D15">
        <w:rPr>
          <w:rFonts w:ascii="Times New Roman" w:hAnsi="Times New Roman"/>
          <w:sz w:val="20"/>
          <w:szCs w:val="20"/>
        </w:rPr>
        <w:t>three antecedent moisture conditions defined by the SCS curve number are 1- dry (wilting point), 2 - average moisture, and 3 - wet (field capacity). Curve no.1 curve number is the lowest value that the daily curve number can have. The curve numbers for moisture conditions 2 and 3 are computed from equations 4 and 5.</w:t>
      </w:r>
    </w:p>
    <w:p w14:paraId="649CE6E0" w14:textId="3EEDF51F" w:rsidR="00445A15" w:rsidRPr="00F969C2" w:rsidRDefault="00445A15" w:rsidP="00445A15">
      <w:pPr>
        <w:spacing w:line="480" w:lineRule="auto"/>
        <w:jc w:val="both"/>
        <w:rPr>
          <w:sz w:val="26"/>
          <w:szCs w:val="26"/>
        </w:rPr>
      </w:pPr>
      <w:r w:rsidRPr="00F969C2">
        <w:rPr>
          <w:rFonts w:ascii="Times New Roman" w:eastAsiaTheme="minorEastAsia" w:hAnsi="Times New Roman"/>
          <w:sz w:val="20"/>
          <w:szCs w:val="20"/>
        </w:rPr>
        <w:t xml:space="preserve">   </w:t>
      </w:r>
      <m:oMath>
        <m:sSub>
          <m:sSubPr>
            <m:ctrlPr>
              <w:rPr>
                <w:rFonts w:ascii="Cambria Math" w:hAnsi="Cambria Math"/>
              </w:rPr>
            </m:ctrlPr>
          </m:sSubPr>
          <m:e>
            <m:r>
              <w:rPr>
                <w:rFonts w:ascii="Cambria Math" w:hAnsi="Cambria Math"/>
              </w:rPr>
              <m:t>CN</m:t>
            </m:r>
          </m:e>
          <m:sub>
            <m:r>
              <w:rPr>
                <w:rFonts w:ascii="Cambria Math" w:hAnsi="Cambria Math"/>
              </w:rPr>
              <m:t>1</m:t>
            </m:r>
          </m:sub>
        </m:sSub>
        <m:r>
          <w:rPr>
            <w:rFonts w:ascii="Cambria Math" w:hAnsi="Cambria Math"/>
          </w:rPr>
          <m:t xml:space="preserve">=     </m:t>
        </m:r>
        <m:f>
          <m:fPr>
            <m:ctrlPr>
              <w:rPr>
                <w:rFonts w:ascii="Cambria Math" w:hAnsi="Cambria Math"/>
              </w:rPr>
            </m:ctrlPr>
          </m:fPr>
          <m:num>
            <m:r>
              <w:rPr>
                <w:rFonts w:ascii="Cambria Math" w:hAnsi="Cambria Math"/>
              </w:rPr>
              <m:t>20 (100-CN)</m:t>
            </m:r>
          </m:num>
          <m:den>
            <m:r>
              <w:rPr>
                <w:rFonts w:ascii="Cambria Math" w:hAnsi="Cambria Math"/>
              </w:rPr>
              <m:t>(100-</m:t>
            </m:r>
            <m:sSub>
              <m:sSubPr>
                <m:ctrlPr>
                  <w:rPr>
                    <w:rFonts w:ascii="Cambria Math" w:hAnsi="Cambria Math"/>
                  </w:rPr>
                </m:ctrlPr>
              </m:sSubPr>
              <m:e>
                <m:r>
                  <w:rPr>
                    <w:rFonts w:ascii="Cambria Math" w:hAnsi="Cambria Math"/>
                  </w:rPr>
                  <m:t>CN</m:t>
                </m:r>
              </m:e>
              <m:sub>
                <m:r>
                  <w:rPr>
                    <w:rFonts w:ascii="Cambria Math" w:hAnsi="Cambria Math"/>
                  </w:rPr>
                  <m:t>2</m:t>
                </m:r>
              </m:sub>
            </m:sSub>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w:rPr>
                        <w:rFonts w:ascii="Cambria Math" w:hAnsi="Cambria Math"/>
                      </w:rPr>
                      <m:t>2.533-0.0636</m:t>
                    </m:r>
                  </m:e>
                </m:d>
                <m:r>
                  <w:rPr>
                    <w:rFonts w:ascii="Cambria Math" w:hAnsi="Cambria Math"/>
                  </w:rPr>
                  <m:t>.(100-</m:t>
                </m:r>
                <m:sSub>
                  <m:sSubPr>
                    <m:ctrlPr>
                      <w:rPr>
                        <w:rFonts w:ascii="Cambria Math" w:hAnsi="Cambria Math"/>
                      </w:rPr>
                    </m:ctrlPr>
                  </m:sSubPr>
                  <m:e>
                    <m:r>
                      <w:rPr>
                        <w:rFonts w:ascii="Cambria Math" w:hAnsi="Cambria Math"/>
                      </w:rPr>
                      <m:t>CN</m:t>
                    </m:r>
                  </m:e>
                  <m:sub>
                    <m:r>
                      <w:rPr>
                        <w:rFonts w:ascii="Cambria Math" w:hAnsi="Cambria Math"/>
                      </w:rPr>
                      <m:t>2</m:t>
                    </m:r>
                  </m:sub>
                </m:sSub>
                <m:r>
                  <w:rPr>
                    <w:rFonts w:ascii="Cambria Math" w:hAnsi="Cambria Math"/>
                  </w:rPr>
                  <m:t>)</m:t>
                </m:r>
              </m:e>
            </m:func>
          </m:den>
        </m:f>
        <m:r>
          <w:rPr>
            <w:rFonts w:ascii="Cambria Math" w:hAnsi="Cambria Math"/>
          </w:rPr>
          <m:t>……………………..…………4</m:t>
        </m:r>
      </m:oMath>
    </w:p>
    <w:p w14:paraId="1EA54401" w14:textId="2EA31BFE" w:rsidR="00972D15" w:rsidRPr="00445A15" w:rsidRDefault="00445A15" w:rsidP="00445A15">
      <w:pPr>
        <w:spacing w:line="480" w:lineRule="auto"/>
        <w:jc w:val="both"/>
      </w:pPr>
      <w:r>
        <w:t xml:space="preserve">   </w:t>
      </w:r>
      <m:oMath>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m:t>
            </m:r>
          </m:sub>
        </m:sSub>
        <m:r>
          <w:rPr>
            <w:rFonts w:ascii="Cambria Math" w:hAnsi="Cambria Math"/>
            <w:sz w:val="20"/>
            <w:szCs w:val="20"/>
          </w:rPr>
          <m:t xml:space="preserve">. </m:t>
        </m:r>
        <m:r>
          <m:rPr>
            <m:sty m:val="p"/>
          </m:rPr>
          <w:rPr>
            <w:rFonts w:ascii="Cambria Math" w:hAnsi="Cambria Math"/>
            <w:sz w:val="20"/>
            <w:szCs w:val="20"/>
          </w:rPr>
          <m:t>exp</m:t>
        </m:r>
        <m:r>
          <w:rPr>
            <w:rFonts w:ascii="Cambria Math" w:hAnsi="Cambria Math"/>
            <w:sz w:val="20"/>
            <w:szCs w:val="20"/>
          </w:rPr>
          <m:t xml:space="preserve">⁡[(0.00673.(100- </m:t>
        </m:r>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m:t>
            </m:r>
          </m:sub>
        </m:sSub>
        <m:r>
          <w:rPr>
            <w:rFonts w:ascii="Cambria Math" w:hAnsi="Cambria Math"/>
            <w:sz w:val="20"/>
            <w:szCs w:val="20"/>
          </w:rPr>
          <m:t>)]…………..……………</m:t>
        </m:r>
        <m:r>
          <w:rPr>
            <w:rFonts w:ascii="Cambria Math" w:hAnsi="Cambria Math"/>
            <w:sz w:val="20"/>
            <w:szCs w:val="20"/>
          </w:rPr>
          <m:t>……..</m:t>
        </m:r>
        <m:r>
          <w:rPr>
            <w:rFonts w:ascii="Cambria Math" w:hAnsi="Cambria Math"/>
            <w:sz w:val="20"/>
            <w:szCs w:val="20"/>
          </w:rPr>
          <m:t>..…,,,,,,,,,……………5</m:t>
        </m:r>
      </m:oMath>
    </w:p>
    <w:p w14:paraId="452E93D5" w14:textId="77777777" w:rsidR="00972D15" w:rsidRPr="00D6675D" w:rsidRDefault="00972D15" w:rsidP="00972D15">
      <w:pPr>
        <w:rPr>
          <w:sz w:val="6"/>
          <w:szCs w:val="6"/>
        </w:rPr>
      </w:pPr>
    </w:p>
    <w:p w14:paraId="26EA386F" w14:textId="1A9B5AAA" w:rsidR="00972D15" w:rsidRDefault="00972D15" w:rsidP="00972D15">
      <w:pPr>
        <w:spacing w:line="480" w:lineRule="auto"/>
        <w:jc w:val="both"/>
        <w:rPr>
          <w:rFonts w:ascii="Times New Roman" w:hAnsi="Times New Roman"/>
          <w:sz w:val="20"/>
          <w:szCs w:val="20"/>
        </w:rPr>
      </w:pPr>
      <w:r>
        <w:rPr>
          <w:rFonts w:ascii="Times New Roman" w:hAnsi="Times New Roman"/>
          <w:sz w:val="20"/>
          <w:szCs w:val="20"/>
        </w:rPr>
        <w:t>In the SWAT model, the moisture condition 1 curve number is CN 1, the moisture condition 2 curve number is CN 2, and the moisture condition 3 curve number is CN 4. In tables, typical curve numbers for moisture condition 2 are presented, which are adequate for slopes less than 5%. The slopes of the Ndarugu – Thiririka sub-catchment, on the other hand, were greater than 5% and as such equation 6 is important for the altering the curve number for higher slopes.</w:t>
      </w:r>
    </w:p>
    <w:p w14:paraId="0283BCF1" w14:textId="5BEE9905" w:rsidR="00972D15" w:rsidRPr="00A12BF5" w:rsidRDefault="00B86247" w:rsidP="00972D15">
      <w:pPr>
        <w:rPr>
          <w:rFonts w:eastAsiaTheme="minorEastAsia"/>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2s</m:t>
              </m:r>
            </m:sub>
          </m:sSub>
          <m:r>
            <w:rPr>
              <w:rFonts w:ascii="Cambria Math" w:hAnsi="Cambria Math"/>
              <w:sz w:val="20"/>
              <w:szCs w:val="20"/>
            </w:rPr>
            <m:t xml:space="preserve">= </m:t>
          </m:r>
          <m:f>
            <m:fPr>
              <m:ctrlPr>
                <w:rPr>
                  <w:rFonts w:ascii="Cambria Math" w:hAnsi="Cambria Math"/>
                  <w:sz w:val="20"/>
                  <w:szCs w:val="20"/>
                </w:rPr>
              </m:ctrlPr>
            </m:fPr>
            <m:num>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3</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m:t>
                      </m:r>
                    </m:sub>
                  </m:sSub>
                </m:e>
              </m:d>
            </m:num>
            <m:den>
              <m:r>
                <w:rPr>
                  <w:rFonts w:ascii="Cambria Math" w:hAnsi="Cambria Math"/>
                  <w:sz w:val="20"/>
                  <w:szCs w:val="20"/>
                </w:rPr>
                <m:t>3</m:t>
              </m:r>
            </m:den>
          </m:f>
          <m:r>
            <w:rPr>
              <w:rFonts w:ascii="Cambria Math" w:hAnsi="Cambria Math"/>
              <w:sz w:val="20"/>
              <w:szCs w:val="20"/>
            </w:rPr>
            <m:t>[1-2.</m:t>
          </m:r>
          <m:func>
            <m:funcPr>
              <m:ctrlPr>
                <w:rPr>
                  <w:rFonts w:ascii="Cambria Math" w:hAnsi="Cambria Math"/>
                  <w:sz w:val="20"/>
                  <w:szCs w:val="20"/>
                </w:rPr>
              </m:ctrlPr>
            </m:funcPr>
            <m:fName>
              <m:r>
                <m:rPr>
                  <m:sty m:val="p"/>
                </m:rPr>
                <w:rPr>
                  <w:rFonts w:ascii="Cambria Math" w:hAnsi="Cambria Math"/>
                  <w:sz w:val="20"/>
                  <w:szCs w:val="20"/>
                </w:rPr>
                <m:t>exp</m:t>
              </m:r>
            </m:fName>
            <m:e>
              <m:d>
                <m:dPr>
                  <m:endChr m:val="]"/>
                  <m:ctrlPr>
                    <w:rPr>
                      <w:rFonts w:ascii="Cambria Math" w:hAnsi="Cambria Math"/>
                      <w:sz w:val="20"/>
                      <w:szCs w:val="20"/>
                    </w:rPr>
                  </m:ctrlPr>
                </m:dPr>
                <m:e>
                  <m:r>
                    <w:rPr>
                      <w:rFonts w:ascii="Cambria Math" w:hAnsi="Cambria Math"/>
                      <w:sz w:val="20"/>
                      <w:szCs w:val="20"/>
                    </w:rPr>
                    <m:t>-13.86.slp</m:t>
                  </m:r>
                </m:e>
              </m:d>
            </m:e>
          </m:func>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CN</m:t>
              </m:r>
            </m:e>
            <m:sub>
              <m:r>
                <w:rPr>
                  <w:rFonts w:ascii="Cambria Math" w:hAnsi="Cambria Math"/>
                  <w:sz w:val="20"/>
                  <w:szCs w:val="20"/>
                </w:rPr>
                <m:t>2</m:t>
              </m:r>
            </m:sub>
          </m:sSub>
          <m:r>
            <w:rPr>
              <w:rFonts w:ascii="Cambria Math" w:hAnsi="Cambria Math"/>
              <w:sz w:val="20"/>
              <w:szCs w:val="20"/>
            </w:rPr>
            <m:t>……</m:t>
          </m:r>
          <m:r>
            <w:rPr>
              <w:rFonts w:ascii="Cambria Math" w:hAnsi="Cambria Math"/>
              <w:sz w:val="20"/>
              <w:szCs w:val="20"/>
            </w:rPr>
            <m:t>…………..….</m:t>
          </m:r>
          <m:r>
            <w:rPr>
              <w:rFonts w:ascii="Cambria Math" w:hAnsi="Cambria Math"/>
              <w:sz w:val="20"/>
              <w:szCs w:val="20"/>
            </w:rPr>
            <m:t>………………..6</m:t>
          </m:r>
        </m:oMath>
      </m:oMathPara>
    </w:p>
    <w:p w14:paraId="3C28F158" w14:textId="09BF93E4" w:rsidR="00A12BF5" w:rsidRPr="00B94FD1" w:rsidRDefault="00A12BF5" w:rsidP="00972D15">
      <w:pPr>
        <w:rPr>
          <w:rFonts w:eastAsiaTheme="minorEastAsia"/>
          <w:sz w:val="6"/>
          <w:szCs w:val="6"/>
        </w:rPr>
      </w:pPr>
    </w:p>
    <w:p w14:paraId="370AE9BF" w14:textId="77777777" w:rsidR="00972D15" w:rsidRDefault="00972D15" w:rsidP="00972D15">
      <w:pPr>
        <w:spacing w:line="480" w:lineRule="auto"/>
        <w:jc w:val="both"/>
        <w:rPr>
          <w:rFonts w:ascii="Times New Roman" w:hAnsi="Times New Roman"/>
          <w:b/>
          <w:bCs/>
          <w:sz w:val="20"/>
          <w:szCs w:val="20"/>
        </w:rPr>
      </w:pPr>
      <w:r>
        <w:rPr>
          <w:rFonts w:ascii="Times New Roman" w:hAnsi="Times New Roman"/>
          <w:b/>
          <w:bCs/>
          <w:sz w:val="20"/>
          <w:szCs w:val="20"/>
        </w:rPr>
        <w:t>3.2.3</w:t>
      </w:r>
      <w:r>
        <w:rPr>
          <w:rFonts w:ascii="Times New Roman" w:hAnsi="Times New Roman"/>
          <w:b/>
          <w:bCs/>
          <w:sz w:val="20"/>
          <w:szCs w:val="20"/>
        </w:rPr>
        <w:tab/>
        <w:t>Evapotranspiration</w:t>
      </w:r>
    </w:p>
    <w:p w14:paraId="76907E87" w14:textId="77777777" w:rsidR="00B94FD1" w:rsidRDefault="003A7BCA" w:rsidP="00972D15">
      <w:pPr>
        <w:spacing w:line="480" w:lineRule="auto"/>
        <w:jc w:val="both"/>
        <w:rPr>
          <w:rFonts w:ascii="Times New Roman" w:hAnsi="Times New Roman" w:cs="Times New Roman"/>
          <w:color w:val="1F1F1F"/>
          <w:sz w:val="20"/>
          <w:szCs w:val="20"/>
          <w:shd w:val="clear" w:color="auto" w:fill="FFFFFF"/>
        </w:rPr>
      </w:pPr>
      <w:r w:rsidRPr="003A7BCA">
        <w:rPr>
          <w:rFonts w:ascii="Times New Roman" w:hAnsi="Times New Roman" w:cs="Times New Roman"/>
          <w:color w:val="1F1F1F"/>
          <w:sz w:val="20"/>
          <w:szCs w:val="20"/>
          <w:shd w:val="clear" w:color="auto" w:fill="FFFFFF"/>
        </w:rPr>
        <w:t>The Penman-Monteith equation </w:t>
      </w:r>
      <w:r w:rsidRPr="003A7BCA">
        <w:rPr>
          <w:rFonts w:ascii="Times New Roman" w:hAnsi="Times New Roman" w:cs="Times New Roman"/>
          <w:color w:val="040C28"/>
          <w:sz w:val="20"/>
          <w:szCs w:val="20"/>
        </w:rPr>
        <w:t>approximates net evapotranspiration (ET) from meteorological data as a replacement for direct measurement of evapotranspiration</w:t>
      </w:r>
      <w:r w:rsidRPr="003A7BCA">
        <w:rPr>
          <w:rFonts w:ascii="Times New Roman" w:hAnsi="Times New Roman" w:cs="Times New Roman"/>
          <w:color w:val="1F1F1F"/>
          <w:sz w:val="20"/>
          <w:szCs w:val="20"/>
          <w:shd w:val="clear" w:color="auto" w:fill="FFFFFF"/>
        </w:rPr>
        <w:t xml:space="preserve">. </w:t>
      </w:r>
    </w:p>
    <w:p w14:paraId="38B62891" w14:textId="0DCFC3A0" w:rsidR="00972D15" w:rsidRDefault="003A7BCA" w:rsidP="00972D15">
      <w:pPr>
        <w:spacing w:line="480" w:lineRule="auto"/>
        <w:jc w:val="both"/>
      </w:pPr>
      <w:r w:rsidRPr="003A7BCA">
        <w:rPr>
          <w:rFonts w:ascii="Times New Roman" w:hAnsi="Times New Roman" w:cs="Times New Roman"/>
          <w:color w:val="1F1F1F"/>
          <w:sz w:val="20"/>
          <w:szCs w:val="20"/>
          <w:shd w:val="clear" w:color="auto" w:fill="FFFFFF"/>
        </w:rPr>
        <w:lastRenderedPageBreak/>
        <w:t>The equation is widely used, and was derived by the United Nations Food and Agriculture Organization for modeling reference evapotranspiration ET</w:t>
      </w:r>
      <w:r w:rsidRPr="003A7BCA">
        <w:rPr>
          <w:rFonts w:ascii="Times New Roman" w:hAnsi="Times New Roman" w:cs="Times New Roman"/>
          <w:color w:val="1F1F1F"/>
          <w:sz w:val="20"/>
          <w:szCs w:val="20"/>
          <w:shd w:val="clear" w:color="auto" w:fill="FFFFFF"/>
          <w:vertAlign w:val="subscript"/>
        </w:rPr>
        <w:t>0</w:t>
      </w:r>
      <w:r w:rsidRPr="003A7BCA">
        <w:rPr>
          <w:rFonts w:ascii="Times New Roman" w:hAnsi="Times New Roman" w:cs="Times New Roman"/>
          <w:color w:val="1F1F1F"/>
          <w:sz w:val="20"/>
          <w:szCs w:val="20"/>
          <w:shd w:val="clear" w:color="auto" w:fill="FFFFFF"/>
        </w:rPr>
        <w:t>.</w:t>
      </w:r>
      <w:r>
        <w:rPr>
          <w:rFonts w:ascii="Times New Roman" w:hAnsi="Times New Roman" w:cs="Times New Roman"/>
          <w:color w:val="1F1F1F"/>
          <w:sz w:val="20"/>
          <w:szCs w:val="20"/>
          <w:shd w:val="clear" w:color="auto" w:fill="FFFFFF"/>
        </w:rPr>
        <w:t xml:space="preserve"> </w:t>
      </w:r>
      <w:r w:rsidR="00972D15">
        <w:rPr>
          <w:rFonts w:ascii="Times New Roman" w:hAnsi="Times New Roman"/>
          <w:sz w:val="20"/>
          <w:szCs w:val="20"/>
        </w:rPr>
        <w:t>to estimate evapotranspiration.</w:t>
      </w:r>
      <w:r w:rsidR="001A5D68">
        <w:rPr>
          <w:rFonts w:ascii="Times New Roman" w:hAnsi="Times New Roman"/>
          <w:sz w:val="20"/>
          <w:szCs w:val="20"/>
        </w:rPr>
        <w:t xml:space="preserve"> The equation is given as follows:</w:t>
      </w:r>
    </w:p>
    <w:p w14:paraId="3F3F16E5" w14:textId="77777777" w:rsidR="00972D15" w:rsidRPr="00B42AA6" w:rsidRDefault="00972D15" w:rsidP="00972D15">
      <w:pPr>
        <w:spacing w:line="480" w:lineRule="auto"/>
        <w:rPr>
          <w:sz w:val="20"/>
          <w:szCs w:val="20"/>
        </w:rPr>
      </w:pPr>
      <m:oMathPara>
        <m:oMathParaPr>
          <m:jc m:val="left"/>
        </m:oMathParaPr>
        <m:oMath>
          <m:r>
            <w:rPr>
              <w:rFonts w:ascii="Cambria Math" w:hAnsi="Cambria Math"/>
              <w:sz w:val="20"/>
              <w:szCs w:val="20"/>
            </w:rPr>
            <m:t>ET=</m:t>
          </m:r>
          <m:f>
            <m:fPr>
              <m:ctrlPr>
                <w:rPr>
                  <w:rFonts w:ascii="Cambria Math" w:hAnsi="Cambria Math"/>
                  <w:sz w:val="20"/>
                  <w:szCs w:val="20"/>
                </w:rPr>
              </m:ctrlPr>
            </m:fPr>
            <m:num>
              <m: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n</m:t>
                      </m:r>
                    </m:sub>
                  </m:sSub>
                  <m:r>
                    <w:rPr>
                      <w:rFonts w:ascii="Cambria Math" w:hAnsi="Cambria Math"/>
                      <w:sz w:val="20"/>
                      <w:szCs w:val="20"/>
                    </w:rPr>
                    <m:t>-G</m:t>
                  </m:r>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ρ</m:t>
                  </m:r>
                </m:e>
                <m:sub>
                  <m:r>
                    <w:rPr>
                      <w:rFonts w:ascii="Cambria Math" w:hAnsi="Cambria Math"/>
                      <w:sz w:val="20"/>
                      <w:szCs w:val="20"/>
                    </w:rPr>
                    <m:t>a</m:t>
                  </m:r>
                </m:sub>
              </m:sSub>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p</m:t>
                  </m:r>
                </m:sub>
              </m:sSub>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a</m:t>
                  </m:r>
                  <m:sSub>
                    <m:sSubPr>
                      <m:ctrlPr>
                        <w:rPr>
                          <w:rFonts w:ascii="Cambria Math" w:hAnsi="Cambria Math"/>
                          <w:sz w:val="20"/>
                          <w:szCs w:val="20"/>
                        </w:rPr>
                      </m:ctrlPr>
                    </m:sSubPr>
                    <m:e>
                      <m:r>
                        <w:rPr>
                          <w:rFonts w:ascii="Cambria Math" w:hAnsi="Cambria Math"/>
                          <w:sz w:val="20"/>
                          <w:szCs w:val="20"/>
                        </w:rPr>
                        <m:t>δ</m:t>
                      </m:r>
                    </m:e>
                    <m:sub>
                      <m:r>
                        <w:rPr>
                          <w:rFonts w:ascii="Cambria Math" w:hAnsi="Cambria Math"/>
                          <w:sz w:val="20"/>
                          <w:szCs w:val="20"/>
                        </w:rPr>
                        <m:t>e</m:t>
                      </m:r>
                    </m:sub>
                  </m:sSub>
                </m:sub>
              </m:sSub>
            </m:num>
            <m:den>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V</m:t>
                  </m:r>
                </m:sub>
              </m:sSub>
              <m:r>
                <w:rPr>
                  <w:rFonts w:ascii="Cambria Math" w:hAnsi="Cambria Math"/>
                  <w:sz w:val="20"/>
                  <w:szCs w:val="20"/>
                </w:rPr>
                <m:t>γ(1+</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a</m:t>
                      </m:r>
                    </m:sub>
                  </m:sSub>
                </m:num>
                <m:den>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s</m:t>
                      </m:r>
                    </m:sub>
                  </m:sSub>
                </m:den>
              </m:f>
              <m:r>
                <w:rPr>
                  <w:rFonts w:ascii="Cambria Math" w:hAnsi="Cambria Math"/>
                  <w:sz w:val="20"/>
                  <w:szCs w:val="20"/>
                </w:rPr>
                <m:t>)</m:t>
              </m:r>
            </m:den>
          </m:f>
          <m:r>
            <w:rPr>
              <w:rFonts w:ascii="Cambria Math" w:hAnsi="Cambria Math"/>
              <w:sz w:val="20"/>
              <w:szCs w:val="20"/>
            </w:rPr>
            <m:t>…………..………………….……………….7</m:t>
          </m:r>
        </m:oMath>
      </m:oMathPara>
    </w:p>
    <w:p w14:paraId="752E56E2" w14:textId="77777777" w:rsidR="002D0253" w:rsidRPr="002D0253" w:rsidRDefault="00972D15" w:rsidP="00972D15">
      <w:pPr>
        <w:jc w:val="both"/>
        <w:rPr>
          <w:rFonts w:ascii="Times New Roman" w:eastAsiaTheme="minorEastAsia" w:hAnsi="Times New Roman"/>
          <w:b/>
          <w:bCs/>
          <w:sz w:val="20"/>
          <w:szCs w:val="20"/>
        </w:rPr>
      </w:pPr>
      <w:r>
        <w:rPr>
          <w:rFonts w:ascii="Times New Roman" w:hAnsi="Times New Roman"/>
          <w:b/>
          <w:bCs/>
          <w:sz w:val="20"/>
          <w:szCs w:val="20"/>
        </w:rPr>
        <w:t xml:space="preserve">Where: </w:t>
      </w:r>
      <w:r w:rsidR="00D6675D">
        <w:rPr>
          <w:rFonts w:ascii="Times New Roman" w:hAnsi="Times New Roman"/>
          <w:b/>
          <w:bCs/>
          <w:sz w:val="20"/>
          <w:szCs w:val="20"/>
        </w:rPr>
        <w:t xml:space="preserve"> </w:t>
      </w:r>
    </w:p>
    <w:p w14:paraId="1A206B20" w14:textId="0BB33614" w:rsidR="00972D15" w:rsidRPr="00B42AA6" w:rsidRDefault="00B86247" w:rsidP="00972D15">
      <w:pPr>
        <w:jc w:val="both"/>
        <w:rPr>
          <w:rFonts w:cstheme="minorHAnsi"/>
          <w:sz w:val="20"/>
          <w:szCs w:val="20"/>
        </w:rPr>
      </w:pPr>
      <m:oMath>
        <m:sSub>
          <m:sSubPr>
            <m:ctrlPr>
              <w:rPr>
                <w:rFonts w:ascii="Cambria Math" w:hAnsi="Cambria Math" w:cstheme="minorHAnsi"/>
                <w:sz w:val="20"/>
                <w:szCs w:val="20"/>
              </w:rPr>
            </m:ctrlPr>
          </m:sSubPr>
          <m:e>
            <m:r>
              <w:rPr>
                <w:rFonts w:ascii="Cambria Math" w:hAnsi="Cambria Math" w:cstheme="minorHAnsi"/>
                <w:sz w:val="20"/>
                <w:szCs w:val="20"/>
              </w:rPr>
              <m:t>R</m:t>
            </m:r>
          </m:e>
          <m:sub>
            <m:r>
              <w:rPr>
                <w:rFonts w:ascii="Cambria Math" w:hAnsi="Cambria Math" w:cstheme="minorHAnsi"/>
                <w:sz w:val="20"/>
                <w:szCs w:val="20"/>
              </w:rPr>
              <m:t>n</m:t>
            </m:r>
          </m:sub>
        </m:sSub>
        <m:r>
          <w:rPr>
            <w:rFonts w:ascii="Cambria Math" w:hAnsi="Cambria Math" w:cstheme="minorHAnsi"/>
            <w:sz w:val="20"/>
            <w:szCs w:val="20"/>
          </w:rPr>
          <m:t xml:space="preserve">is the net irradiance </m:t>
        </m:r>
        <m:d>
          <m:dPr>
            <m:ctrlPr>
              <w:rPr>
                <w:rFonts w:ascii="Cambria Math" w:hAnsi="Cambria Math" w:cstheme="minorHAnsi"/>
                <w:sz w:val="20"/>
                <w:szCs w:val="20"/>
              </w:rPr>
            </m:ctrlPr>
          </m:dPr>
          <m:e>
            <m:sSup>
              <m:sSupPr>
                <m:ctrlPr>
                  <w:rPr>
                    <w:rFonts w:ascii="Cambria Math" w:hAnsi="Cambria Math" w:cstheme="minorHAnsi"/>
                    <w:sz w:val="20"/>
                    <w:szCs w:val="20"/>
                  </w:rPr>
                </m:ctrlPr>
              </m:sSupPr>
              <m:e>
                <m:r>
                  <w:rPr>
                    <w:rFonts w:ascii="Cambria Math" w:hAnsi="Cambria Math" w:cstheme="minorHAnsi"/>
                    <w:sz w:val="20"/>
                    <w:szCs w:val="20"/>
                  </w:rPr>
                  <m:t>Wm</m:t>
                </m:r>
              </m:e>
              <m:sup>
                <m:r>
                  <w:rPr>
                    <w:rFonts w:ascii="Cambria Math" w:hAnsi="Cambria Math" w:cstheme="minorHAnsi"/>
                    <w:sz w:val="20"/>
                    <w:szCs w:val="20"/>
                  </w:rPr>
                  <m:t>-1</m:t>
                </m:r>
              </m:sup>
            </m:sSup>
          </m:e>
        </m:d>
      </m:oMath>
      <w:r w:rsidR="00972D15" w:rsidRPr="00B42AA6">
        <w:rPr>
          <w:rFonts w:cstheme="minorHAnsi"/>
          <w:sz w:val="20"/>
          <w:szCs w:val="20"/>
        </w:rPr>
        <w:t xml:space="preserve">, </w:t>
      </w:r>
      <m:oMath>
        <m:r>
          <w:rPr>
            <w:rFonts w:ascii="Cambria Math" w:hAnsi="Cambria Math" w:cstheme="minorHAnsi"/>
            <w:sz w:val="20"/>
            <w:szCs w:val="20"/>
          </w:rPr>
          <m:t>ρa is the density of dry air (</m:t>
        </m:r>
        <m:sSup>
          <m:sSupPr>
            <m:ctrlPr>
              <w:rPr>
                <w:rFonts w:ascii="Cambria Math" w:hAnsi="Cambria Math" w:cstheme="minorHAnsi"/>
                <w:sz w:val="20"/>
                <w:szCs w:val="20"/>
              </w:rPr>
            </m:ctrlPr>
          </m:sSupPr>
          <m:e>
            <m:r>
              <w:rPr>
                <w:rFonts w:ascii="Cambria Math" w:hAnsi="Cambria Math" w:cstheme="minorHAnsi"/>
                <w:sz w:val="20"/>
                <w:szCs w:val="20"/>
              </w:rPr>
              <m:t>Kg</m:t>
            </m:r>
          </m:e>
          <m:sup>
            <m:r>
              <w:rPr>
                <w:rFonts w:ascii="Cambria Math" w:hAnsi="Cambria Math" w:cstheme="minorHAnsi"/>
                <w:sz w:val="20"/>
                <w:szCs w:val="20"/>
              </w:rPr>
              <m:t>-3</m:t>
            </m:r>
          </m:sup>
        </m:sSup>
        <m:r>
          <w:rPr>
            <w:rFonts w:ascii="Cambria Math" w:hAnsi="Cambria Math" w:cstheme="minorHAnsi"/>
            <w:sz w:val="20"/>
            <w:szCs w:val="20"/>
          </w:rPr>
          <m:t>)</m:t>
        </m:r>
      </m:oMath>
    </w:p>
    <w:p w14:paraId="68BA5987" w14:textId="77777777" w:rsidR="00972D15" w:rsidRPr="00B42AA6" w:rsidRDefault="00B86247"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p</m:t>
              </m:r>
            </m:sub>
          </m:sSub>
          <m:r>
            <w:rPr>
              <w:rFonts w:ascii="Cambria Math" w:hAnsi="Cambria Math"/>
              <w:sz w:val="20"/>
              <w:szCs w:val="20"/>
            </w:rPr>
            <m:t xml:space="preserve"> is the specific heat capacity </m:t>
          </m:r>
          <m:d>
            <m:dPr>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JKg</m:t>
                  </m:r>
                </m:e>
                <m:sup>
                  <m:r>
                    <w:rPr>
                      <w:rFonts w:ascii="Cambria Math" w:hAnsi="Cambria Math"/>
                      <w:sz w:val="20"/>
                      <w:szCs w:val="20"/>
                    </w:rPr>
                    <m:t>-1</m:t>
                  </m:r>
                </m:sup>
              </m:sSup>
              <m:sSup>
                <m:sSupPr>
                  <m:ctrlPr>
                    <w:rPr>
                      <w:rFonts w:ascii="Cambria Math" w:hAnsi="Cambria Math"/>
                      <w:sz w:val="20"/>
                      <w:szCs w:val="20"/>
                    </w:rPr>
                  </m:ctrlPr>
                </m:sSupPr>
                <m:e>
                  <m:r>
                    <w:rPr>
                      <w:rFonts w:ascii="Cambria Math" w:hAnsi="Cambria Math"/>
                      <w:sz w:val="20"/>
                      <w:szCs w:val="20"/>
                    </w:rPr>
                    <m:t>K</m:t>
                  </m:r>
                </m:e>
                <m:sup>
                  <m:r>
                    <w:rPr>
                      <w:rFonts w:ascii="Cambria Math" w:hAnsi="Cambria Math"/>
                      <w:sz w:val="20"/>
                      <w:szCs w:val="20"/>
                    </w:rPr>
                    <m:t>-1</m:t>
                  </m:r>
                </m:sup>
              </m:sSup>
            </m:e>
          </m:d>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a</m:t>
              </m:r>
            </m:sub>
          </m:sSub>
          <m:r>
            <w:rPr>
              <w:rFonts w:ascii="Cambria Math" w:hAnsi="Cambria Math"/>
              <w:sz w:val="20"/>
              <w:szCs w:val="20"/>
            </w:rPr>
            <m:t xml:space="preserve"> is the conductivity of the air </m:t>
          </m:r>
          <m:d>
            <m:dPr>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ms</m:t>
                  </m:r>
                </m:e>
                <m:sup>
                  <m:r>
                    <w:rPr>
                      <w:rFonts w:ascii="Cambria Math" w:hAnsi="Cambria Math"/>
                      <w:sz w:val="20"/>
                      <w:szCs w:val="20"/>
                    </w:rPr>
                    <m:t>-1</m:t>
                  </m:r>
                </m:sup>
              </m:sSup>
            </m:e>
          </m:d>
          <m:r>
            <w:rPr>
              <w:rFonts w:ascii="Cambria Math" w:hAnsi="Cambria Math"/>
              <w:sz w:val="20"/>
              <w:szCs w:val="20"/>
            </w:rPr>
            <m:t xml:space="preserve">, </m:t>
          </m:r>
        </m:oMath>
      </m:oMathPara>
    </w:p>
    <w:p w14:paraId="50098501" w14:textId="77777777" w:rsidR="00972D15" w:rsidRPr="00B42AA6" w:rsidRDefault="00B86247"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s</m:t>
              </m:r>
            </m:sub>
          </m:sSub>
          <m:r>
            <w:rPr>
              <w:rFonts w:ascii="Cambria Math" w:hAnsi="Cambria Math"/>
              <w:sz w:val="20"/>
              <w:szCs w:val="20"/>
            </w:rPr>
            <m:t xml:space="preserve"> is the conductivity of the plant stoma</m:t>
          </m:r>
          <m:d>
            <m:dPr>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ms</m:t>
                  </m:r>
                </m:e>
                <m:sup>
                  <m:r>
                    <w:rPr>
                      <w:rFonts w:ascii="Cambria Math" w:hAnsi="Cambria Math"/>
                      <w:sz w:val="20"/>
                      <w:szCs w:val="20"/>
                    </w:rPr>
                    <m:t>-1</m:t>
                  </m:r>
                </m:sup>
              </m:sSup>
            </m:e>
          </m:d>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δ</m:t>
              </m:r>
            </m:e>
            <m:sub>
              <m:r>
                <w:rPr>
                  <w:rFonts w:ascii="Cambria Math" w:hAnsi="Cambria Math"/>
                  <w:sz w:val="20"/>
                  <w:szCs w:val="20"/>
                </w:rPr>
                <m:t xml:space="preserve">e </m:t>
              </m:r>
            </m:sub>
          </m:sSub>
          <m:r>
            <w:rPr>
              <w:rFonts w:ascii="Cambria Math" w:hAnsi="Cambria Math"/>
              <w:sz w:val="20"/>
              <w:szCs w:val="20"/>
            </w:rPr>
            <m:t xml:space="preserve">is the specific humidity </m:t>
          </m:r>
          <m:d>
            <m:dPr>
              <m:ctrlPr>
                <w:rPr>
                  <w:rFonts w:ascii="Cambria Math" w:hAnsi="Cambria Math"/>
                  <w:sz w:val="20"/>
                  <w:szCs w:val="20"/>
                </w:rPr>
              </m:ctrlPr>
            </m:dPr>
            <m:e>
              <m:r>
                <w:rPr>
                  <w:rFonts w:ascii="Cambria Math" w:hAnsi="Cambria Math"/>
                  <w:sz w:val="20"/>
                  <w:szCs w:val="20"/>
                </w:rPr>
                <m:t>Pa</m:t>
              </m:r>
            </m:e>
          </m:d>
          <m:r>
            <w:rPr>
              <w:rFonts w:ascii="Cambria Math" w:hAnsi="Cambria Math"/>
              <w:sz w:val="20"/>
              <w:szCs w:val="20"/>
            </w:rPr>
            <m:t>,</m:t>
          </m:r>
        </m:oMath>
      </m:oMathPara>
    </w:p>
    <w:p w14:paraId="184065F6" w14:textId="77777777" w:rsidR="00972D15" w:rsidRPr="00B42AA6" w:rsidRDefault="00B86247"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v</m:t>
              </m:r>
            </m:sub>
          </m:sSub>
          <m:r>
            <w:rPr>
              <w:rFonts w:ascii="Cambria Math" w:hAnsi="Cambria Math"/>
              <w:sz w:val="20"/>
              <w:szCs w:val="20"/>
            </w:rPr>
            <m:t xml:space="preserve"> is the volumetric heat of vaporization (2453 </m:t>
          </m:r>
          <m:sSup>
            <m:sSupPr>
              <m:ctrlPr>
                <w:rPr>
                  <w:rFonts w:ascii="Cambria Math" w:hAnsi="Cambria Math"/>
                  <w:sz w:val="20"/>
                  <w:szCs w:val="20"/>
                </w:rPr>
              </m:ctrlPr>
            </m:sSupPr>
            <m:e>
              <m:r>
                <w:rPr>
                  <w:rFonts w:ascii="Cambria Math" w:hAnsi="Cambria Math"/>
                  <w:sz w:val="20"/>
                  <w:szCs w:val="20"/>
                </w:rPr>
                <m:t>MJm</m:t>
              </m:r>
            </m:e>
            <m:sup>
              <m:r>
                <w:rPr>
                  <w:rFonts w:ascii="Cambria Math" w:hAnsi="Cambria Math"/>
                  <w:sz w:val="20"/>
                  <w:szCs w:val="20"/>
                </w:rPr>
                <m:t>-3</m:t>
              </m:r>
            </m:sup>
          </m:sSup>
          <m:r>
            <w:rPr>
              <w:rFonts w:ascii="Cambria Math" w:hAnsi="Cambria Math"/>
              <w:sz w:val="20"/>
              <w:szCs w:val="20"/>
            </w:rPr>
            <m:t xml:space="preserve"> for the water)</m:t>
          </m:r>
        </m:oMath>
      </m:oMathPara>
    </w:p>
    <w:p w14:paraId="799445BC" w14:textId="77777777" w:rsidR="00972D15" w:rsidRPr="00B42AA6" w:rsidRDefault="00972D15" w:rsidP="00972D15">
      <w:pPr>
        <w:rPr>
          <w:sz w:val="20"/>
          <w:szCs w:val="20"/>
        </w:rPr>
      </w:pPr>
      <m:oMathPara>
        <m:oMathParaPr>
          <m:jc m:val="left"/>
        </m:oMathParaPr>
        <m:oMath>
          <m:r>
            <w:rPr>
              <w:rFonts w:ascii="Cambria Math" w:hAnsi="Cambria Math"/>
              <w:sz w:val="20"/>
              <w:szCs w:val="20"/>
            </w:rPr>
            <m:t>γ is the pschometric constant (-66</m:t>
          </m:r>
          <m:sSup>
            <m:sSupPr>
              <m:ctrlPr>
                <w:rPr>
                  <w:rFonts w:ascii="Cambria Math" w:hAnsi="Cambria Math"/>
                  <w:sz w:val="20"/>
                  <w:szCs w:val="20"/>
                </w:rPr>
              </m:ctrlPr>
            </m:sSupPr>
            <m:e>
              <m:r>
                <w:rPr>
                  <w:rFonts w:ascii="Cambria Math" w:hAnsi="Cambria Math"/>
                  <w:sz w:val="20"/>
                  <w:szCs w:val="20"/>
                </w:rPr>
                <m:t>Pa</m:t>
              </m:r>
            </m:e>
            <m:sup>
              <m:r>
                <w:rPr>
                  <w:rFonts w:ascii="Cambria Math" w:hAnsi="Cambria Math"/>
                  <w:sz w:val="20"/>
                  <w:szCs w:val="20"/>
                </w:rPr>
                <m:t>-1</m:t>
              </m:r>
            </m:sup>
          </m:sSup>
          <m:r>
            <w:rPr>
              <w:rFonts w:ascii="Cambria Math" w:hAnsi="Cambria Math"/>
              <w:sz w:val="20"/>
              <w:szCs w:val="20"/>
            </w:rPr>
            <m:t>)</m:t>
          </m:r>
        </m:oMath>
      </m:oMathPara>
    </w:p>
    <w:p w14:paraId="4844466A" w14:textId="77777777" w:rsidR="00972D15" w:rsidRPr="00B42AA6" w:rsidRDefault="00972D15" w:rsidP="00972D15">
      <w:pPr>
        <w:rPr>
          <w:sz w:val="20"/>
          <w:szCs w:val="20"/>
        </w:rPr>
      </w:pPr>
      <m:oMathPara>
        <m:oMathParaPr>
          <m:jc m:val="left"/>
        </m:oMathParaPr>
        <m:oMath>
          <m:r>
            <w:rPr>
              <w:rFonts w:ascii="Cambria Math" w:hAnsi="Cambria Math"/>
              <w:sz w:val="20"/>
              <w:szCs w:val="20"/>
            </w:rPr>
            <m:t>∆ is the rate of change of saturation of specific humidity with air temperature (</m:t>
          </m:r>
          <m:sSup>
            <m:sSupPr>
              <m:ctrlPr>
                <w:rPr>
                  <w:rFonts w:ascii="Cambria Math" w:hAnsi="Cambria Math"/>
                  <w:sz w:val="20"/>
                  <w:szCs w:val="20"/>
                </w:rPr>
              </m:ctrlPr>
            </m:sSupPr>
            <m:e>
              <m:r>
                <w:rPr>
                  <w:rFonts w:ascii="Cambria Math" w:hAnsi="Cambria Math"/>
                  <w:sz w:val="20"/>
                  <w:szCs w:val="20"/>
                </w:rPr>
                <m:t>PaK</m:t>
              </m:r>
            </m:e>
            <m:sup>
              <m:r>
                <w:rPr>
                  <w:rFonts w:ascii="Cambria Math" w:hAnsi="Cambria Math"/>
                  <w:sz w:val="20"/>
                  <w:szCs w:val="20"/>
                </w:rPr>
                <m:t>-1</m:t>
              </m:r>
            </m:sup>
          </m:sSup>
          <m:r>
            <w:rPr>
              <w:rFonts w:ascii="Cambria Math" w:hAnsi="Cambria Math"/>
              <w:sz w:val="20"/>
              <w:szCs w:val="20"/>
            </w:rPr>
            <m:t>)</m:t>
          </m:r>
        </m:oMath>
      </m:oMathPara>
    </w:p>
    <w:p w14:paraId="61D0C725" w14:textId="77777777" w:rsidR="002D0253" w:rsidRPr="002D0253" w:rsidRDefault="002D0253" w:rsidP="00972D15">
      <w:pPr>
        <w:spacing w:line="480" w:lineRule="auto"/>
        <w:rPr>
          <w:rFonts w:ascii="Times New Roman" w:hAnsi="Times New Roman"/>
          <w:sz w:val="4"/>
          <w:szCs w:val="4"/>
        </w:rPr>
      </w:pPr>
    </w:p>
    <w:p w14:paraId="1A114F1B" w14:textId="54F1F855" w:rsidR="00972D15" w:rsidRDefault="00972D15" w:rsidP="00972D15">
      <w:pPr>
        <w:spacing w:line="480" w:lineRule="auto"/>
        <w:rPr>
          <w:rFonts w:ascii="Times New Roman" w:hAnsi="Times New Roman"/>
          <w:sz w:val="20"/>
          <w:szCs w:val="20"/>
        </w:rPr>
      </w:pPr>
      <w:r>
        <w:rPr>
          <w:rFonts w:ascii="Times New Roman" w:hAnsi="Times New Roman"/>
          <w:sz w:val="20"/>
          <w:szCs w:val="20"/>
        </w:rPr>
        <w:t>The following equation gives the evaporative demand when the soil layer's depth below the surface Zs is taken into account:</w:t>
      </w:r>
    </w:p>
    <w:p w14:paraId="25148B2A" w14:textId="77777777" w:rsidR="00972D15" w:rsidRPr="00B42AA6" w:rsidRDefault="00972D15" w:rsidP="00972D15">
      <w:pPr>
        <w:spacing w:line="480" w:lineRule="auto"/>
        <w:rPr>
          <w:sz w:val="20"/>
          <w:szCs w:val="20"/>
        </w:rPr>
      </w:pPr>
      <m:oMathPara>
        <m:oMathParaPr>
          <m:jc m:val="left"/>
        </m:oMathParaPr>
        <m:oMath>
          <m:r>
            <w:rPr>
              <w:rFonts w:ascii="Cambria Math" w:hAnsi="Cambria Math"/>
              <w:sz w:val="20"/>
              <w:szCs w:val="20"/>
            </w:rPr>
            <m:t>ETj=ETx</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Zs,</m:t>
                  </m:r>
                </m:e>
                <m:sub>
                  <m:r>
                    <w:rPr>
                      <w:rFonts w:ascii="Cambria Math" w:hAnsi="Cambria Math"/>
                      <w:sz w:val="20"/>
                      <w:szCs w:val="20"/>
                    </w:rPr>
                    <m:t>j</m:t>
                  </m:r>
                </m:sub>
              </m:sSub>
            </m:num>
            <m:den>
              <m:sSub>
                <m:sSubPr>
                  <m:ctrlPr>
                    <w:rPr>
                      <w:rFonts w:ascii="Cambria Math" w:hAnsi="Cambria Math"/>
                      <w:sz w:val="20"/>
                      <w:szCs w:val="20"/>
                    </w:rPr>
                  </m:ctrlPr>
                </m:sSubPr>
                <m:e>
                  <m:r>
                    <w:rPr>
                      <w:rFonts w:ascii="Cambria Math" w:hAnsi="Cambria Math"/>
                      <w:sz w:val="20"/>
                      <w:szCs w:val="20"/>
                    </w:rPr>
                    <m:t>Zs,</m:t>
                  </m:r>
                </m:e>
                <m:sub>
                  <m:r>
                    <w:rPr>
                      <w:rFonts w:ascii="Cambria Math" w:hAnsi="Cambria Math"/>
                      <w:sz w:val="20"/>
                      <w:szCs w:val="20"/>
                    </w:rPr>
                    <m:t>j</m:t>
                  </m:r>
                </m:sub>
              </m:sSub>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e</m:t>
                  </m:r>
                </m:e>
                <m:sup>
                  <m:r>
                    <w:rPr>
                      <w:rFonts w:ascii="Cambria Math" w:hAnsi="Cambria Math"/>
                      <w:sz w:val="20"/>
                      <w:szCs w:val="20"/>
                    </w:rPr>
                    <m:t>2374-0.00713Zs,j</m:t>
                  </m:r>
                </m:sup>
              </m:sSup>
            </m:den>
          </m:f>
          <m:r>
            <w:rPr>
              <w:rFonts w:ascii="Cambria Math" w:hAnsi="Cambria Math"/>
              <w:sz w:val="20"/>
              <w:szCs w:val="20"/>
            </w:rPr>
            <m:t>…………………….……………………………8</m:t>
          </m:r>
        </m:oMath>
      </m:oMathPara>
    </w:p>
    <w:p w14:paraId="202B8142" w14:textId="77777777" w:rsidR="00972D15" w:rsidRDefault="00972D15" w:rsidP="00972D15">
      <w:pPr>
        <w:spacing w:line="480" w:lineRule="auto"/>
      </w:pPr>
      <w:r>
        <w:rPr>
          <w:rFonts w:ascii="Times New Roman" w:hAnsi="Times New Roman"/>
          <w:sz w:val="20"/>
          <w:szCs w:val="20"/>
        </w:rPr>
        <w:t>Since the evaporative demand at the lower and higher soil layer boundaries differs, the actual evapotranspiration is calculated as follows:</w:t>
      </w:r>
    </w:p>
    <w:p w14:paraId="400A80E4" w14:textId="7C40CA0E" w:rsidR="00972D15" w:rsidRDefault="00B86247" w:rsidP="00972D15">
      <w:pPr>
        <w:spacing w:line="480" w:lineRule="auto"/>
      </w:pPr>
      <m:oMathPara>
        <m:oMathParaPr>
          <m:jc m:val="left"/>
        </m:oMathParaPr>
        <m:oMath>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act,j</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J,1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J,u</m:t>
              </m:r>
            </m:sub>
          </m:sSub>
          <m:r>
            <w:rPr>
              <w:rFonts w:ascii="Cambria Math" w:hAnsi="Cambria Math"/>
              <w:sz w:val="20"/>
              <w:szCs w:val="20"/>
            </w:rPr>
            <m:t>.esco……………………………………………………….9</m:t>
          </m:r>
        </m:oMath>
      </m:oMathPara>
    </w:p>
    <w:p w14:paraId="6DFF8258" w14:textId="77777777" w:rsidR="00972D15" w:rsidRPr="009F65A5" w:rsidRDefault="00B86247"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J,1</m:t>
              </m:r>
            </m:sub>
          </m:sSub>
          <m:r>
            <w:rPr>
              <w:rFonts w:ascii="Cambria Math" w:hAnsi="Cambria Math"/>
              <w:sz w:val="20"/>
              <w:szCs w:val="20"/>
            </w:rPr>
            <m:t>and</m:t>
          </m:r>
          <m:sSub>
            <m:sSubPr>
              <m:ctrlPr>
                <w:rPr>
                  <w:rFonts w:ascii="Cambria Math" w:hAnsi="Cambria Math"/>
                  <w:sz w:val="20"/>
                  <w:szCs w:val="20"/>
                </w:rPr>
              </m:ctrlPr>
            </m:sSubPr>
            <m:e>
              <m:r>
                <w:rPr>
                  <w:rFonts w:ascii="Cambria Math" w:hAnsi="Cambria Math"/>
                  <w:sz w:val="20"/>
                  <w:szCs w:val="20"/>
                </w:rPr>
                <m:t>ET</m:t>
              </m:r>
            </m:e>
            <m:sub>
              <m:r>
                <w:rPr>
                  <w:rFonts w:ascii="Cambria Math" w:hAnsi="Cambria Math"/>
                  <w:sz w:val="20"/>
                  <w:szCs w:val="20"/>
                </w:rPr>
                <m:t>J,u</m:t>
              </m:r>
            </m:sub>
          </m:sSub>
          <m:r>
            <w:rPr>
              <w:rFonts w:ascii="Cambria Math" w:hAnsi="Cambria Math"/>
              <w:sz w:val="20"/>
              <w:szCs w:val="20"/>
            </w:rPr>
            <m:t xml:space="preserve"> are the evaporative demand at the lower and upper soil boundaries, </m:t>
          </m:r>
        </m:oMath>
      </m:oMathPara>
    </w:p>
    <w:p w14:paraId="7E3849CC" w14:textId="77777777" w:rsidR="00972D15" w:rsidRPr="009F65A5" w:rsidRDefault="00972D15" w:rsidP="00972D15">
      <w:pPr>
        <w:rPr>
          <w:sz w:val="20"/>
          <w:szCs w:val="20"/>
        </w:rPr>
      </w:pPr>
      <m:oMathPara>
        <m:oMathParaPr>
          <m:jc m:val="left"/>
        </m:oMathParaPr>
        <m:oMath>
          <m:r>
            <w:rPr>
              <w:rFonts w:ascii="Cambria Math" w:hAnsi="Cambria Math"/>
              <w:sz w:val="20"/>
              <w:szCs w:val="20"/>
            </w:rPr>
            <m:t>repesctively and esco is the unit less soil evaporative compensation coefficient,</m:t>
          </m:r>
        </m:oMath>
      </m:oMathPara>
    </w:p>
    <w:p w14:paraId="50742399" w14:textId="324FA6AB" w:rsidR="00972D15" w:rsidRPr="00A12BF5" w:rsidRDefault="00972D15" w:rsidP="00972D15">
      <w:pPr>
        <w:rPr>
          <w:rFonts w:eastAsiaTheme="minorEastAsia"/>
          <w:sz w:val="20"/>
          <w:szCs w:val="20"/>
        </w:rPr>
      </w:pPr>
      <m:oMathPara>
        <m:oMathParaPr>
          <m:jc m:val="left"/>
        </m:oMathParaPr>
        <m:oMath>
          <m:r>
            <w:rPr>
              <w:rFonts w:ascii="Cambria Math" w:hAnsi="Cambria Math"/>
              <w:sz w:val="20"/>
              <w:szCs w:val="20"/>
            </w:rPr>
            <m:t xml:space="preserve"> which range between 0 to 1.</m:t>
          </m:r>
        </m:oMath>
      </m:oMathPara>
    </w:p>
    <w:p w14:paraId="3DDDBB20" w14:textId="7E608028" w:rsidR="009F65A5" w:rsidRPr="00B15B09" w:rsidRDefault="009F65A5" w:rsidP="00972D15">
      <w:pPr>
        <w:rPr>
          <w:rFonts w:eastAsiaTheme="minorEastAsia"/>
          <w:sz w:val="6"/>
          <w:szCs w:val="6"/>
        </w:rPr>
      </w:pPr>
    </w:p>
    <w:p w14:paraId="57216DF3" w14:textId="2C6DAB3C" w:rsidR="009F65A5" w:rsidRDefault="009F65A5" w:rsidP="00972D15">
      <w:pPr>
        <w:rPr>
          <w:rFonts w:ascii="Times New Roman" w:eastAsiaTheme="minorEastAsia" w:hAnsi="Times New Roman" w:cs="Times New Roman"/>
          <w:b/>
          <w:bCs/>
          <w:sz w:val="20"/>
          <w:szCs w:val="20"/>
        </w:rPr>
      </w:pPr>
      <w:r w:rsidRPr="005E6EA0">
        <w:rPr>
          <w:rFonts w:ascii="Times New Roman" w:eastAsiaTheme="minorEastAsia" w:hAnsi="Times New Roman" w:cs="Times New Roman"/>
          <w:b/>
          <w:bCs/>
          <w:sz w:val="20"/>
          <w:szCs w:val="20"/>
        </w:rPr>
        <w:t>3.3.</w:t>
      </w:r>
      <w:r w:rsidRPr="005E6EA0">
        <w:rPr>
          <w:rFonts w:ascii="Times New Roman" w:eastAsiaTheme="minorEastAsia" w:hAnsi="Times New Roman" w:cs="Times New Roman"/>
          <w:b/>
          <w:bCs/>
          <w:sz w:val="20"/>
          <w:szCs w:val="20"/>
        </w:rPr>
        <w:tab/>
      </w:r>
      <w:r w:rsidR="00EB7379">
        <w:rPr>
          <w:rFonts w:ascii="Times New Roman" w:eastAsiaTheme="minorEastAsia" w:hAnsi="Times New Roman" w:cs="Times New Roman"/>
          <w:b/>
          <w:bCs/>
          <w:sz w:val="20"/>
          <w:szCs w:val="20"/>
        </w:rPr>
        <w:t>The Spatial Input data for the analysis</w:t>
      </w:r>
    </w:p>
    <w:p w14:paraId="064ED778" w14:textId="77777777" w:rsidR="002D0253" w:rsidRPr="00B227D2" w:rsidRDefault="002D0253" w:rsidP="00972D15">
      <w:pPr>
        <w:rPr>
          <w:rFonts w:ascii="Times New Roman" w:eastAsiaTheme="minorEastAsia" w:hAnsi="Times New Roman" w:cs="Times New Roman"/>
          <w:b/>
          <w:bCs/>
          <w:sz w:val="4"/>
          <w:szCs w:val="4"/>
        </w:rPr>
      </w:pPr>
    </w:p>
    <w:p w14:paraId="20132A06" w14:textId="0D89E0C3" w:rsidR="005E6EA0" w:rsidRDefault="005E6EA0" w:rsidP="005E6EA0">
      <w:pPr>
        <w:spacing w:line="480" w:lineRule="auto"/>
        <w:jc w:val="both"/>
        <w:rPr>
          <w:rFonts w:ascii="Times New Roman" w:hAnsi="Times New Roman"/>
          <w:sz w:val="20"/>
          <w:szCs w:val="20"/>
        </w:rPr>
      </w:pPr>
      <w:r w:rsidRPr="000053B1">
        <w:rPr>
          <w:rFonts w:ascii="Times New Roman" w:hAnsi="Times New Roman" w:cs="Times New Roman"/>
          <w:sz w:val="20"/>
          <w:szCs w:val="20"/>
        </w:rPr>
        <w:t xml:space="preserve">The SWAT model was employed to assess hydrologic characteristics and compute the water balance of the Ndarugu - Thiririka sub-catchments. </w:t>
      </w:r>
      <w:r>
        <w:rPr>
          <w:rFonts w:ascii="Times New Roman" w:hAnsi="Times New Roman"/>
          <w:sz w:val="20"/>
          <w:szCs w:val="20"/>
        </w:rPr>
        <w:t xml:space="preserve">The SWAT model required spatially distributed data </w:t>
      </w:r>
      <w:r w:rsidR="002D0253">
        <w:rPr>
          <w:rFonts w:ascii="Times New Roman" w:hAnsi="Times New Roman"/>
          <w:sz w:val="20"/>
          <w:szCs w:val="20"/>
        </w:rPr>
        <w:t xml:space="preserve">such as </w:t>
      </w:r>
      <w:r>
        <w:rPr>
          <w:rFonts w:ascii="Times New Roman" w:hAnsi="Times New Roman"/>
          <w:sz w:val="20"/>
          <w:szCs w:val="20"/>
        </w:rPr>
        <w:t xml:space="preserve">the DEM (Digital Elevation Model), soil data, land use and land cover map, and weather data (precipitation, solar radiation, relative humidity, wind speed). </w:t>
      </w:r>
    </w:p>
    <w:p w14:paraId="2F39814A" w14:textId="77777777" w:rsidR="005E6EA0" w:rsidRDefault="005E6EA0" w:rsidP="005E6EA0">
      <w:pPr>
        <w:spacing w:after="0" w:line="480" w:lineRule="auto"/>
        <w:jc w:val="both"/>
        <w:rPr>
          <w:rFonts w:ascii="Times New Roman" w:hAnsi="Times New Roman"/>
          <w:b/>
          <w:bCs/>
          <w:sz w:val="2"/>
          <w:szCs w:val="2"/>
        </w:rPr>
      </w:pPr>
    </w:p>
    <w:p w14:paraId="4C21B79E" w14:textId="77777777" w:rsidR="005E6EA0" w:rsidRPr="00D67A3C" w:rsidRDefault="005E6EA0" w:rsidP="005E6EA0">
      <w:pPr>
        <w:spacing w:after="0" w:line="480" w:lineRule="auto"/>
        <w:jc w:val="both"/>
        <w:rPr>
          <w:rFonts w:ascii="Times New Roman" w:hAnsi="Times New Roman"/>
          <w:b/>
          <w:bCs/>
          <w:sz w:val="2"/>
          <w:szCs w:val="2"/>
        </w:rPr>
      </w:pPr>
    </w:p>
    <w:p w14:paraId="355B6234" w14:textId="77777777" w:rsidR="00B15B09" w:rsidRDefault="005E6EA0" w:rsidP="005E6EA0">
      <w:pPr>
        <w:spacing w:line="480" w:lineRule="auto"/>
        <w:jc w:val="both"/>
        <w:rPr>
          <w:rFonts w:ascii="Times New Roman" w:hAnsi="Times New Roman"/>
          <w:b/>
          <w:bCs/>
          <w:sz w:val="20"/>
          <w:szCs w:val="20"/>
        </w:rPr>
      </w:pPr>
      <w:r>
        <w:rPr>
          <w:rFonts w:ascii="Times New Roman" w:hAnsi="Times New Roman"/>
          <w:b/>
          <w:bCs/>
          <w:sz w:val="20"/>
          <w:szCs w:val="20"/>
        </w:rPr>
        <w:t>3.3.1</w:t>
      </w:r>
      <w:r>
        <w:rPr>
          <w:rFonts w:ascii="Times New Roman" w:hAnsi="Times New Roman"/>
          <w:b/>
          <w:bCs/>
          <w:sz w:val="20"/>
          <w:szCs w:val="20"/>
        </w:rPr>
        <w:tab/>
        <w:t>Digital Elevation Model</w:t>
      </w:r>
    </w:p>
    <w:p w14:paraId="3067A9F6" w14:textId="5772AC6F" w:rsidR="003E3F86" w:rsidRDefault="005E6EA0" w:rsidP="005E6EA0">
      <w:pPr>
        <w:spacing w:line="480" w:lineRule="auto"/>
        <w:jc w:val="both"/>
        <w:rPr>
          <w:rFonts w:ascii="Times New Roman" w:hAnsi="Times New Roman" w:cs="Times New Roman"/>
          <w:sz w:val="20"/>
          <w:szCs w:val="20"/>
          <w:shd w:val="clear" w:color="auto" w:fill="FFFFFF"/>
        </w:rPr>
      </w:pPr>
      <w:r w:rsidRPr="00063616">
        <w:rPr>
          <w:rFonts w:ascii="Times New Roman" w:hAnsi="Times New Roman" w:cs="Times New Roman"/>
          <w:sz w:val="20"/>
          <w:szCs w:val="20"/>
          <w:shd w:val="clear" w:color="auto" w:fill="FFFFFF"/>
        </w:rPr>
        <w:t xml:space="preserve">The Digital Elevetion Model (DEM) data was generated from the topographical maps obtained from the Survey of Kenya (SOK). </w:t>
      </w:r>
      <w:r w:rsidR="00CF027C" w:rsidRPr="00CF027C">
        <w:rPr>
          <w:rFonts w:ascii="Times New Roman" w:hAnsi="Times New Roman" w:cs="Times New Roman"/>
          <w:sz w:val="20"/>
          <w:szCs w:val="20"/>
          <w:shd w:val="clear" w:color="auto" w:fill="FFFFFF"/>
        </w:rPr>
        <w:t xml:space="preserve">The scale of these maps, sheet nos. 148/2 and 149/2, of formerly the Kiambu and Thika districts, was 1:50,000. Using the Ground Control Points (GCP) of the study area, the topographic maps were georeferenced using the ArcGIS 10.4.2 platform after being mosaicked using the ERDAS Image 9.1 image processing program. </w:t>
      </w:r>
    </w:p>
    <w:p w14:paraId="7B9404A6" w14:textId="77777777" w:rsidR="003E3F86" w:rsidRPr="003E3F86" w:rsidRDefault="003E3F86" w:rsidP="005E6EA0">
      <w:pPr>
        <w:spacing w:line="480" w:lineRule="auto"/>
        <w:jc w:val="both"/>
        <w:rPr>
          <w:rFonts w:ascii="Times New Roman" w:hAnsi="Times New Roman" w:cs="Times New Roman"/>
          <w:sz w:val="4"/>
          <w:szCs w:val="4"/>
          <w:shd w:val="clear" w:color="auto" w:fill="FFFFFF"/>
        </w:rPr>
      </w:pPr>
    </w:p>
    <w:p w14:paraId="29FA83E2" w14:textId="13F00F9F" w:rsidR="005E6EA0" w:rsidRDefault="005E6EA0" w:rsidP="005E6EA0">
      <w:pPr>
        <w:spacing w:line="480" w:lineRule="auto"/>
        <w:jc w:val="both"/>
        <w:rPr>
          <w:rFonts w:ascii="Times New Roman" w:hAnsi="Times New Roman"/>
          <w:b/>
          <w:bCs/>
          <w:sz w:val="20"/>
          <w:szCs w:val="20"/>
        </w:rPr>
      </w:pPr>
      <w:r>
        <w:rPr>
          <w:rFonts w:ascii="Times New Roman" w:hAnsi="Times New Roman"/>
          <w:b/>
          <w:bCs/>
          <w:sz w:val="20"/>
          <w:szCs w:val="20"/>
        </w:rPr>
        <w:t>3.3.2</w:t>
      </w:r>
      <w:r>
        <w:rPr>
          <w:rFonts w:ascii="Times New Roman" w:hAnsi="Times New Roman"/>
          <w:b/>
          <w:bCs/>
          <w:sz w:val="20"/>
          <w:szCs w:val="20"/>
        </w:rPr>
        <w:tab/>
        <w:t xml:space="preserve">LULC (Land Use and Land Cover) data </w:t>
      </w:r>
    </w:p>
    <w:p w14:paraId="6D2BAC52" w14:textId="44AE7991" w:rsidR="00EB7379" w:rsidRDefault="005E6EA0" w:rsidP="005E6EA0">
      <w:pPr>
        <w:spacing w:line="480" w:lineRule="auto"/>
        <w:jc w:val="both"/>
        <w:rPr>
          <w:rFonts w:ascii="Times New Roman" w:hAnsi="Times New Roman"/>
          <w:sz w:val="20"/>
          <w:szCs w:val="20"/>
        </w:rPr>
      </w:pPr>
      <w:r>
        <w:rPr>
          <w:rFonts w:ascii="Times New Roman" w:hAnsi="Times New Roman"/>
          <w:sz w:val="20"/>
          <w:szCs w:val="20"/>
        </w:rPr>
        <w:t xml:space="preserve">According to Astite </w:t>
      </w:r>
      <w:r w:rsidRPr="006C2FF2">
        <w:rPr>
          <w:rFonts w:ascii="Times New Roman" w:hAnsi="Times New Roman"/>
          <w:i/>
          <w:iCs/>
          <w:sz w:val="20"/>
          <w:szCs w:val="20"/>
        </w:rPr>
        <w:t>et al</w:t>
      </w:r>
      <w:r>
        <w:rPr>
          <w:rFonts w:ascii="Times New Roman" w:hAnsi="Times New Roman"/>
          <w:sz w:val="20"/>
          <w:szCs w:val="20"/>
        </w:rPr>
        <w:t xml:space="preserve">. (2023), land use and land change (LULC) is essential in a watershed since they influence the hydrological characteristics of watersheds or catchments. The LULC influence ground flows, groundwater storage, and water demand. </w:t>
      </w:r>
    </w:p>
    <w:p w14:paraId="0AA22BE1" w14:textId="310A249F" w:rsidR="005E6EA0" w:rsidRDefault="005E6EA0" w:rsidP="005E6EA0">
      <w:pPr>
        <w:spacing w:line="480" w:lineRule="auto"/>
        <w:jc w:val="both"/>
      </w:pPr>
      <w:r>
        <w:rPr>
          <w:rFonts w:ascii="Times New Roman" w:hAnsi="Times New Roman"/>
          <w:sz w:val="20"/>
          <w:szCs w:val="20"/>
        </w:rPr>
        <w:t>In this study, the map for the LULC was derived from LANDSAT ETM + imageries of 30 m resolution obtained from the US Geological Survey's path 168 and row 6 acquired on January 29, 2018. Satellite imageries were processed using the maximum likelihood of the supervised classification approach in ArcGIS version 10.4.2. The formed classes were transformed into </w:t>
      </w:r>
      <w:r>
        <w:rPr>
          <w:rStyle w:val="Strong"/>
          <w:rFonts w:ascii="Times New Roman" w:hAnsi="Times New Roman"/>
          <w:color w:val="0E101A"/>
          <w:sz w:val="20"/>
          <w:szCs w:val="20"/>
        </w:rPr>
        <w:t>Traverse WGS UTM_ Zone_ 37°S </w:t>
      </w:r>
      <w:r>
        <w:rPr>
          <w:rFonts w:ascii="Times New Roman" w:hAnsi="Times New Roman"/>
          <w:sz w:val="20"/>
          <w:szCs w:val="20"/>
        </w:rPr>
        <w:t>for further analysis in the model.</w:t>
      </w:r>
    </w:p>
    <w:p w14:paraId="0A7A01C0" w14:textId="77777777" w:rsidR="005E6EA0" w:rsidRDefault="005E6EA0" w:rsidP="005E6EA0">
      <w:pPr>
        <w:spacing w:line="480" w:lineRule="auto"/>
        <w:jc w:val="both"/>
        <w:rPr>
          <w:rFonts w:ascii="Times New Roman" w:hAnsi="Times New Roman"/>
          <w:b/>
          <w:bCs/>
          <w:sz w:val="20"/>
          <w:szCs w:val="20"/>
        </w:rPr>
      </w:pPr>
      <w:r>
        <w:rPr>
          <w:rFonts w:ascii="Times New Roman" w:hAnsi="Times New Roman"/>
          <w:b/>
          <w:bCs/>
          <w:sz w:val="20"/>
          <w:szCs w:val="20"/>
        </w:rPr>
        <w:t>3.3.3</w:t>
      </w:r>
      <w:r>
        <w:rPr>
          <w:rFonts w:ascii="Times New Roman" w:hAnsi="Times New Roman"/>
          <w:b/>
          <w:bCs/>
          <w:sz w:val="20"/>
          <w:szCs w:val="20"/>
        </w:rPr>
        <w:tab/>
        <w:t xml:space="preserve">Soil data </w:t>
      </w:r>
    </w:p>
    <w:p w14:paraId="05A1E045" w14:textId="77777777" w:rsidR="005E6EA0" w:rsidRDefault="005E6EA0" w:rsidP="005E6EA0">
      <w:pPr>
        <w:spacing w:line="480" w:lineRule="auto"/>
        <w:jc w:val="both"/>
        <w:rPr>
          <w:rFonts w:ascii="Times New Roman" w:hAnsi="Times New Roman"/>
          <w:sz w:val="20"/>
          <w:szCs w:val="20"/>
        </w:rPr>
      </w:pPr>
      <w:r>
        <w:rPr>
          <w:rFonts w:ascii="Times New Roman" w:hAnsi="Times New Roman"/>
          <w:sz w:val="20"/>
          <w:szCs w:val="20"/>
        </w:rPr>
        <w:t>The SWAT procedure relied heavily on the physical and chemical properties of the soil. The essential parameters for each horizon included texture, hydrologic soil group, bulk density, soil texture, soil depth, organic carbon, accessible water content, hydraulic conductivity, and fractions of sand, silt, and clay. The data was obtained from Kenya's FAO Digital Soil Map (Nachtergaele, 2002) and then projected to the Traverse WGS 1984 UTM _Zone_ 37°S coordinate system using the SWAT data editor module.</w:t>
      </w:r>
    </w:p>
    <w:p w14:paraId="6D2FFFC2" w14:textId="77777777" w:rsidR="005E6EA0" w:rsidRDefault="005E6EA0" w:rsidP="005E6EA0">
      <w:pPr>
        <w:spacing w:line="480" w:lineRule="auto"/>
        <w:jc w:val="both"/>
        <w:rPr>
          <w:rFonts w:ascii="Times New Roman" w:hAnsi="Times New Roman"/>
          <w:b/>
          <w:bCs/>
          <w:sz w:val="20"/>
          <w:szCs w:val="20"/>
        </w:rPr>
      </w:pPr>
      <w:r>
        <w:rPr>
          <w:rFonts w:ascii="Times New Roman" w:hAnsi="Times New Roman"/>
          <w:b/>
          <w:bCs/>
          <w:sz w:val="20"/>
          <w:szCs w:val="20"/>
        </w:rPr>
        <w:t>3.3.4</w:t>
      </w:r>
      <w:r>
        <w:rPr>
          <w:rFonts w:ascii="Times New Roman" w:hAnsi="Times New Roman"/>
          <w:b/>
          <w:bCs/>
          <w:sz w:val="20"/>
          <w:szCs w:val="20"/>
        </w:rPr>
        <w:tab/>
        <w:t xml:space="preserve">Weather data  </w:t>
      </w:r>
    </w:p>
    <w:p w14:paraId="6573B5E7" w14:textId="7D8048B7" w:rsidR="005E6EA0" w:rsidRDefault="005E6EA0" w:rsidP="005E6EA0">
      <w:pPr>
        <w:spacing w:line="480" w:lineRule="auto"/>
        <w:jc w:val="both"/>
        <w:rPr>
          <w:rFonts w:ascii="Times New Roman" w:hAnsi="Times New Roman"/>
          <w:sz w:val="20"/>
          <w:szCs w:val="20"/>
        </w:rPr>
      </w:pPr>
      <w:r>
        <w:rPr>
          <w:rFonts w:ascii="Times New Roman" w:hAnsi="Times New Roman"/>
          <w:sz w:val="20"/>
          <w:szCs w:val="20"/>
        </w:rPr>
        <w:t>The weather data for the study spanned eight years, from 2006 to 2013 and was obtained from the Global Meteorological Services and the Kenya Meteorological Department's Thika and Nairobi offices. The data included precipitation (mm), temperature (°C), solar radiation (MJm-2s-2), wind speed (ms-1), and humidity (%) were for the model. After the analysis, the weather data then was converted to a text file for use in the SWAT model for ease of analysis.</w:t>
      </w:r>
    </w:p>
    <w:p w14:paraId="231645A6" w14:textId="77777777" w:rsidR="005E6EA0" w:rsidRDefault="005E6EA0" w:rsidP="005E6EA0">
      <w:pPr>
        <w:spacing w:line="480" w:lineRule="auto"/>
        <w:jc w:val="both"/>
        <w:rPr>
          <w:rFonts w:ascii="Times New Roman" w:hAnsi="Times New Roman"/>
          <w:b/>
          <w:bCs/>
          <w:sz w:val="20"/>
          <w:szCs w:val="20"/>
        </w:rPr>
      </w:pPr>
      <w:r w:rsidRPr="009A492C">
        <w:rPr>
          <w:rFonts w:ascii="Times New Roman" w:hAnsi="Times New Roman"/>
          <w:b/>
          <w:bCs/>
          <w:sz w:val="20"/>
          <w:szCs w:val="20"/>
        </w:rPr>
        <w:lastRenderedPageBreak/>
        <w:t>3.3.5</w:t>
      </w:r>
      <w:r w:rsidRPr="009A492C">
        <w:rPr>
          <w:rFonts w:ascii="Times New Roman" w:hAnsi="Times New Roman"/>
          <w:b/>
          <w:bCs/>
          <w:sz w:val="20"/>
          <w:szCs w:val="20"/>
        </w:rPr>
        <w:tab/>
        <w:t xml:space="preserve">Streamflow data </w:t>
      </w:r>
    </w:p>
    <w:p w14:paraId="287AA5E8" w14:textId="3DA5E064" w:rsidR="005E6EA0" w:rsidRDefault="005E6EA0" w:rsidP="005E6EA0">
      <w:pPr>
        <w:spacing w:line="480" w:lineRule="auto"/>
        <w:jc w:val="both"/>
        <w:rPr>
          <w:rFonts w:ascii="Times New Roman" w:hAnsi="Times New Roman"/>
          <w:sz w:val="20"/>
          <w:szCs w:val="20"/>
        </w:rPr>
      </w:pPr>
      <w:r w:rsidRPr="009A492C">
        <w:rPr>
          <w:rFonts w:ascii="Times New Roman" w:hAnsi="Times New Roman"/>
          <w:sz w:val="20"/>
          <w:szCs w:val="20"/>
        </w:rPr>
        <w:t xml:space="preserve">The streamflow data needed for the calibration, and validation of the SWAT model was obtained from the Water Resources Management Authority (WRMA), Kiambu offices in Kenya. The data had been recorded at the Ndarugu Gauging station namely </w:t>
      </w:r>
      <w:r w:rsidRPr="009A492C">
        <w:rPr>
          <w:rFonts w:ascii="Times New Roman" w:hAnsi="Times New Roman"/>
          <w:b/>
          <w:bCs/>
          <w:sz w:val="20"/>
          <w:szCs w:val="20"/>
        </w:rPr>
        <w:t>3 CB 5</w:t>
      </w:r>
      <w:r w:rsidRPr="009A492C">
        <w:rPr>
          <w:rFonts w:ascii="Times New Roman" w:hAnsi="Times New Roman"/>
          <w:sz w:val="20"/>
          <w:szCs w:val="20"/>
        </w:rPr>
        <w:t>.</w:t>
      </w:r>
    </w:p>
    <w:p w14:paraId="352631EA" w14:textId="1FDCD48C" w:rsidR="00EB7379" w:rsidRPr="00EB7379" w:rsidRDefault="00EB7379" w:rsidP="005E6EA0">
      <w:pPr>
        <w:spacing w:line="480" w:lineRule="auto"/>
        <w:jc w:val="both"/>
        <w:rPr>
          <w:rFonts w:ascii="Times New Roman" w:hAnsi="Times New Roman"/>
          <w:b/>
          <w:bCs/>
          <w:sz w:val="20"/>
          <w:szCs w:val="20"/>
        </w:rPr>
      </w:pPr>
      <w:r w:rsidRPr="00EB7379">
        <w:rPr>
          <w:rFonts w:ascii="Times New Roman" w:hAnsi="Times New Roman"/>
          <w:b/>
          <w:bCs/>
          <w:sz w:val="20"/>
          <w:szCs w:val="20"/>
        </w:rPr>
        <w:t>3.4</w:t>
      </w:r>
      <w:r w:rsidRPr="00EB7379">
        <w:rPr>
          <w:rFonts w:ascii="Times New Roman" w:hAnsi="Times New Roman"/>
          <w:b/>
          <w:bCs/>
          <w:sz w:val="20"/>
          <w:szCs w:val="20"/>
        </w:rPr>
        <w:tab/>
      </w:r>
      <w:r w:rsidR="00B97760">
        <w:rPr>
          <w:rFonts w:ascii="Times New Roman" w:hAnsi="Times New Roman"/>
          <w:b/>
          <w:bCs/>
          <w:sz w:val="20"/>
          <w:szCs w:val="20"/>
        </w:rPr>
        <w:t>Research Methodology</w:t>
      </w:r>
    </w:p>
    <w:p w14:paraId="42F4F66D" w14:textId="7842F3AF" w:rsidR="007530FB" w:rsidRDefault="00415C56" w:rsidP="00415C56">
      <w:pPr>
        <w:spacing w:after="0" w:line="480" w:lineRule="auto"/>
        <w:jc w:val="both"/>
        <w:rPr>
          <w:rFonts w:ascii="Times New Roman" w:hAnsi="Times New Roman" w:cs="Times New Roman"/>
          <w:sz w:val="20"/>
          <w:szCs w:val="20"/>
        </w:rPr>
      </w:pPr>
      <w:r w:rsidRPr="00415C56">
        <w:rPr>
          <w:rFonts w:ascii="Times New Roman" w:eastAsia="Times New Roman" w:hAnsi="Times New Roman" w:cs="Times New Roman"/>
          <w:sz w:val="20"/>
          <w:szCs w:val="20"/>
        </w:rPr>
        <w:t>The SWAT model was used to assess the impact of sub-basin discretization on the Ndarugu – Thiririka sub-catchment, with SUFI-2 algorithm for calibration, validation, and sensitivity analysis.</w:t>
      </w:r>
      <w:r>
        <w:rPr>
          <w:rFonts w:ascii="Times New Roman" w:eastAsia="Times New Roman" w:hAnsi="Times New Roman" w:cs="Times New Roman"/>
          <w:sz w:val="20"/>
          <w:szCs w:val="20"/>
        </w:rPr>
        <w:t xml:space="preserve"> </w:t>
      </w:r>
      <w:r w:rsidR="0014539B" w:rsidRPr="00415C56">
        <w:rPr>
          <w:rFonts w:ascii="Times New Roman" w:hAnsi="Times New Roman" w:cs="Times New Roman"/>
          <w:sz w:val="20"/>
          <w:szCs w:val="20"/>
        </w:rPr>
        <w:t>According to Liu and Yao (2017), the performance of the SWAT model was evaluated using the Percent Bias (PBIAS), Nash Sutcliffe Efficiency (ENS) and the Coefficient of Determination (R</w:t>
      </w:r>
      <w:r w:rsidR="0014539B" w:rsidRPr="00415C56">
        <w:rPr>
          <w:rFonts w:ascii="Times New Roman" w:hAnsi="Times New Roman" w:cs="Times New Roman"/>
          <w:sz w:val="20"/>
          <w:szCs w:val="20"/>
          <w:vertAlign w:val="superscript"/>
        </w:rPr>
        <w:t>2</w:t>
      </w:r>
      <w:r w:rsidR="0014539B" w:rsidRPr="00415C56">
        <w:rPr>
          <w:rFonts w:ascii="Times New Roman" w:hAnsi="Times New Roman" w:cs="Times New Roman"/>
          <w:sz w:val="20"/>
          <w:szCs w:val="20"/>
        </w:rPr>
        <w:t>).</w:t>
      </w:r>
    </w:p>
    <w:p w14:paraId="3B8B6966" w14:textId="77777777" w:rsidR="00415C56" w:rsidRPr="00415C56" w:rsidRDefault="00415C56" w:rsidP="00415C56">
      <w:pPr>
        <w:spacing w:after="0" w:line="480" w:lineRule="auto"/>
        <w:jc w:val="both"/>
        <w:rPr>
          <w:rFonts w:ascii="Times New Roman" w:hAnsi="Times New Roman" w:cs="Times New Roman"/>
          <w:sz w:val="6"/>
          <w:szCs w:val="6"/>
        </w:rPr>
      </w:pPr>
    </w:p>
    <w:p w14:paraId="6403C492" w14:textId="77777777" w:rsidR="00415C56" w:rsidRPr="00AB0394" w:rsidRDefault="00415C56" w:rsidP="00415C56">
      <w:pPr>
        <w:spacing w:after="0" w:line="480" w:lineRule="auto"/>
        <w:jc w:val="both"/>
        <w:rPr>
          <w:rFonts w:ascii="Times New Roman" w:hAnsi="Times New Roman" w:cs="Times New Roman"/>
          <w:sz w:val="2"/>
          <w:szCs w:val="2"/>
        </w:rPr>
      </w:pPr>
    </w:p>
    <w:bookmarkEnd w:id="1"/>
    <w:p w14:paraId="7B849F57" w14:textId="5295B7A9" w:rsidR="00A62428" w:rsidRDefault="00A62428" w:rsidP="00A62428">
      <w:pPr>
        <w:spacing w:line="480" w:lineRule="auto"/>
        <w:jc w:val="both"/>
        <w:rPr>
          <w:rFonts w:ascii="Times New Roman" w:hAnsi="Times New Roman" w:cs="Times New Roman"/>
          <w:sz w:val="20"/>
          <w:szCs w:val="20"/>
        </w:rPr>
      </w:pPr>
      <w:r w:rsidRPr="00A62428">
        <w:rPr>
          <w:rFonts w:ascii="Times New Roman" w:hAnsi="Times New Roman" w:cs="Times New Roman"/>
          <w:sz w:val="20"/>
          <w:szCs w:val="20"/>
        </w:rPr>
        <w:t>The DEM data from the topographical maps obtained from the Survey of Kenya (SOK). These maps, whose sheet nos. were 148/2 and 149/2, respectively, were of the Kiambu and Thika districts at the scale of 1:50,000. They were mosaicked using the ERDAS Image 9.1 image processing program and then georeferenced using the ArcGIS 10.4.2 platform through the Ground Control Points (GCP) of the Ndarugu - Thiririka sub-catchments.</w:t>
      </w:r>
      <w:r>
        <w:rPr>
          <w:rFonts w:ascii="Times New Roman" w:hAnsi="Times New Roman" w:cs="Times New Roman"/>
          <w:sz w:val="20"/>
          <w:szCs w:val="20"/>
        </w:rPr>
        <w:t xml:space="preserve"> </w:t>
      </w:r>
    </w:p>
    <w:p w14:paraId="39B7D82B" w14:textId="54B3C322" w:rsidR="003D6267" w:rsidRDefault="00D90952" w:rsidP="00A62428">
      <w:pPr>
        <w:spacing w:line="48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w:t>
      </w:r>
      <w:r w:rsidR="0034764C">
        <w:rPr>
          <w:rFonts w:ascii="Times New Roman" w:hAnsi="Times New Roman" w:cs="Times New Roman"/>
          <w:sz w:val="20"/>
          <w:szCs w:val="20"/>
          <w:shd w:val="clear" w:color="auto" w:fill="FFFFFF"/>
        </w:rPr>
        <w:t xml:space="preserve">he </w:t>
      </w:r>
      <w:r w:rsidR="0034764C" w:rsidRPr="0034764C">
        <w:rPr>
          <w:rFonts w:ascii="Times New Roman" w:hAnsi="Times New Roman" w:cs="Times New Roman"/>
          <w:sz w:val="20"/>
          <w:szCs w:val="20"/>
          <w:shd w:val="clear" w:color="auto" w:fill="FFFFFF"/>
        </w:rPr>
        <w:t>ArcGIS 10.4.2</w:t>
      </w:r>
      <w:r w:rsidR="0034764C">
        <w:rPr>
          <w:rFonts w:ascii="Times New Roman" w:hAnsi="Times New Roman" w:cs="Times New Roman"/>
          <w:sz w:val="20"/>
          <w:szCs w:val="20"/>
          <w:shd w:val="clear" w:color="auto" w:fill="FFFFFF"/>
        </w:rPr>
        <w:t xml:space="preserve"> was used to digitize </w:t>
      </w:r>
      <w:r w:rsidR="0034764C" w:rsidRPr="0034764C">
        <w:rPr>
          <w:rFonts w:ascii="Times New Roman" w:hAnsi="Times New Roman" w:cs="Times New Roman"/>
          <w:sz w:val="20"/>
          <w:szCs w:val="20"/>
          <w:shd w:val="clear" w:color="auto" w:fill="FFFFFF"/>
        </w:rPr>
        <w:t>contours</w:t>
      </w:r>
      <w:r w:rsidR="0034764C">
        <w:rPr>
          <w:rFonts w:ascii="Times New Roman" w:hAnsi="Times New Roman" w:cs="Times New Roman"/>
          <w:sz w:val="20"/>
          <w:szCs w:val="20"/>
          <w:shd w:val="clear" w:color="auto" w:fill="FFFFFF"/>
        </w:rPr>
        <w:t xml:space="preserve"> (</w:t>
      </w:r>
      <w:r w:rsidR="0034764C" w:rsidRPr="0034764C">
        <w:rPr>
          <w:rFonts w:ascii="Times New Roman" w:hAnsi="Times New Roman" w:cs="Times New Roman"/>
          <w:sz w:val="20"/>
          <w:szCs w:val="20"/>
          <w:shd w:val="clear" w:color="auto" w:fill="FFFFFF"/>
        </w:rPr>
        <w:t xml:space="preserve">polylines </w:t>
      </w:r>
      <w:r w:rsidR="0034764C">
        <w:rPr>
          <w:rFonts w:ascii="Times New Roman" w:hAnsi="Times New Roman" w:cs="Times New Roman"/>
          <w:sz w:val="20"/>
          <w:szCs w:val="20"/>
          <w:shd w:val="clear" w:color="auto" w:fill="FFFFFF"/>
        </w:rPr>
        <w:t xml:space="preserve">of equal </w:t>
      </w:r>
      <w:r w:rsidR="0034764C" w:rsidRPr="0034764C">
        <w:rPr>
          <w:rFonts w:ascii="Times New Roman" w:hAnsi="Times New Roman" w:cs="Times New Roman"/>
          <w:sz w:val="20"/>
          <w:szCs w:val="20"/>
          <w:shd w:val="clear" w:color="auto" w:fill="FFFFFF"/>
        </w:rPr>
        <w:t>elevation at 25-meter intervals</w:t>
      </w:r>
      <w:r w:rsidR="00AB0394">
        <w:rPr>
          <w:rFonts w:ascii="Times New Roman" w:hAnsi="Times New Roman" w:cs="Times New Roman"/>
          <w:sz w:val="20"/>
          <w:szCs w:val="20"/>
          <w:shd w:val="clear" w:color="auto" w:fill="FFFFFF"/>
        </w:rPr>
        <w:t>)</w:t>
      </w:r>
      <w:r w:rsidR="00AB0394" w:rsidRPr="0034764C">
        <w:rPr>
          <w:rFonts w:ascii="Times New Roman" w:hAnsi="Times New Roman" w:cs="Times New Roman"/>
          <w:sz w:val="20"/>
          <w:szCs w:val="20"/>
          <w:shd w:val="clear" w:color="auto" w:fill="FFFFFF"/>
        </w:rPr>
        <w:t>.</w:t>
      </w:r>
      <w:r w:rsidR="0034764C">
        <w:rPr>
          <w:rFonts w:ascii="Times New Roman" w:hAnsi="Times New Roman" w:cs="Times New Roman"/>
          <w:sz w:val="20"/>
          <w:szCs w:val="20"/>
          <w:shd w:val="clear" w:color="auto" w:fill="FFFFFF"/>
        </w:rPr>
        <w:t xml:space="preserve"> </w:t>
      </w:r>
      <w:r w:rsidR="0034764C" w:rsidRPr="0034764C">
        <w:rPr>
          <w:rFonts w:ascii="Times New Roman" w:hAnsi="Times New Roman" w:cs="Times New Roman"/>
          <w:sz w:val="20"/>
          <w:szCs w:val="20"/>
          <w:shd w:val="clear" w:color="auto" w:fill="FFFFFF"/>
        </w:rPr>
        <w:t xml:space="preserve">The overshoot and undershoot </w:t>
      </w:r>
      <w:r w:rsidR="006C2FF2">
        <w:rPr>
          <w:rFonts w:ascii="Times New Roman" w:hAnsi="Times New Roman" w:cs="Times New Roman"/>
          <w:sz w:val="20"/>
          <w:szCs w:val="20"/>
          <w:shd w:val="clear" w:color="auto" w:fill="FFFFFF"/>
        </w:rPr>
        <w:t xml:space="preserve">errors </w:t>
      </w:r>
      <w:r w:rsidR="0034764C" w:rsidRPr="0034764C">
        <w:rPr>
          <w:rFonts w:ascii="Times New Roman" w:hAnsi="Times New Roman" w:cs="Times New Roman"/>
          <w:sz w:val="20"/>
          <w:szCs w:val="20"/>
          <w:shd w:val="clear" w:color="auto" w:fill="FFFFFF"/>
        </w:rPr>
        <w:t xml:space="preserve">were fixed on the map. Using ArcGIS 10.4.2, the </w:t>
      </w:r>
      <w:r w:rsidR="006C2FF2">
        <w:rPr>
          <w:rFonts w:ascii="Times New Roman" w:hAnsi="Times New Roman" w:cs="Times New Roman"/>
          <w:sz w:val="20"/>
          <w:szCs w:val="20"/>
          <w:shd w:val="clear" w:color="auto" w:fill="FFFFFF"/>
        </w:rPr>
        <w:t xml:space="preserve">corrected </w:t>
      </w:r>
      <w:r w:rsidR="0034764C" w:rsidRPr="0034764C">
        <w:rPr>
          <w:rFonts w:ascii="Times New Roman" w:hAnsi="Times New Roman" w:cs="Times New Roman"/>
          <w:sz w:val="20"/>
          <w:szCs w:val="20"/>
          <w:shd w:val="clear" w:color="auto" w:fill="FFFFFF"/>
        </w:rPr>
        <w:t>map was converted to a Triangulated Irregular Network (TIN) and subsequently to a Digital Elevation Model.</w:t>
      </w:r>
    </w:p>
    <w:p w14:paraId="7022B3DC" w14:textId="67FC24DB" w:rsidR="00972D15" w:rsidRDefault="00972D15" w:rsidP="00972D15">
      <w:pPr>
        <w:spacing w:line="480" w:lineRule="auto"/>
        <w:jc w:val="both"/>
        <w:rPr>
          <w:rFonts w:ascii="Times New Roman" w:hAnsi="Times New Roman"/>
          <w:b/>
          <w:bCs/>
          <w:sz w:val="20"/>
          <w:szCs w:val="20"/>
        </w:rPr>
      </w:pPr>
      <w:r>
        <w:rPr>
          <w:rFonts w:ascii="Times New Roman" w:hAnsi="Times New Roman"/>
          <w:b/>
          <w:bCs/>
          <w:sz w:val="20"/>
          <w:szCs w:val="20"/>
        </w:rPr>
        <w:t>3.4</w:t>
      </w:r>
      <w:r w:rsidR="003B537A">
        <w:rPr>
          <w:rFonts w:ascii="Times New Roman" w:hAnsi="Times New Roman"/>
          <w:b/>
          <w:bCs/>
          <w:sz w:val="20"/>
          <w:szCs w:val="20"/>
        </w:rPr>
        <w:t>.1</w:t>
      </w:r>
      <w:r>
        <w:rPr>
          <w:rFonts w:ascii="Times New Roman" w:hAnsi="Times New Roman"/>
          <w:b/>
          <w:bCs/>
          <w:sz w:val="20"/>
          <w:szCs w:val="20"/>
        </w:rPr>
        <w:tab/>
        <w:t>Setting up of the SWAT model</w:t>
      </w:r>
    </w:p>
    <w:p w14:paraId="3232FBB7" w14:textId="3D72974E" w:rsidR="00415C56" w:rsidRDefault="00415C56" w:rsidP="003D6267">
      <w:pPr>
        <w:spacing w:after="0" w:line="480" w:lineRule="auto"/>
        <w:jc w:val="both"/>
        <w:rPr>
          <w:rFonts w:ascii="Times New Roman" w:eastAsia="Times New Roman" w:hAnsi="Times New Roman" w:cs="Times New Roman"/>
          <w:sz w:val="20"/>
          <w:szCs w:val="20"/>
        </w:rPr>
      </w:pPr>
      <w:r w:rsidRPr="00415C56">
        <w:rPr>
          <w:rFonts w:ascii="Times New Roman" w:eastAsia="Times New Roman" w:hAnsi="Times New Roman" w:cs="Times New Roman"/>
          <w:sz w:val="20"/>
          <w:szCs w:val="20"/>
        </w:rPr>
        <w:t xml:space="preserve">It is essential to predict SWAT parameters and understand the water cycle to manage water resources in a particular area. The study employed the SWAT method to assess the hydrological characteristics and water balance within the Ndarugu - Thiririka sub-catchments. The analysis is summarized as follows: data preparation, discretization of the subbasins, description of the HRU, simulation, and running of the SWAT model. </w:t>
      </w:r>
    </w:p>
    <w:p w14:paraId="70236ADE" w14:textId="77777777" w:rsidR="00B227D2" w:rsidRPr="00B227D2" w:rsidRDefault="00B227D2" w:rsidP="003D6267">
      <w:pPr>
        <w:spacing w:after="0" w:line="480" w:lineRule="auto"/>
        <w:jc w:val="both"/>
        <w:rPr>
          <w:rFonts w:ascii="Times New Roman" w:eastAsia="Times New Roman" w:hAnsi="Times New Roman" w:cs="Times New Roman"/>
          <w:sz w:val="6"/>
          <w:szCs w:val="6"/>
        </w:rPr>
      </w:pPr>
    </w:p>
    <w:p w14:paraId="41F3C4D0" w14:textId="77777777" w:rsidR="00415C56" w:rsidRPr="00415C56" w:rsidRDefault="00415C56" w:rsidP="003D6267">
      <w:pPr>
        <w:spacing w:after="0" w:line="480" w:lineRule="auto"/>
        <w:jc w:val="both"/>
        <w:rPr>
          <w:rFonts w:ascii="Times New Roman" w:eastAsia="Times New Roman" w:hAnsi="Times New Roman" w:cs="Times New Roman"/>
          <w:sz w:val="2"/>
          <w:szCs w:val="2"/>
        </w:rPr>
      </w:pPr>
    </w:p>
    <w:p w14:paraId="5DCBE243" w14:textId="68EF5DF1" w:rsidR="00415C56" w:rsidRDefault="00415C56" w:rsidP="003D6267">
      <w:pPr>
        <w:spacing w:after="0" w:line="480" w:lineRule="auto"/>
        <w:jc w:val="both"/>
        <w:rPr>
          <w:rFonts w:ascii="Times New Roman" w:eastAsia="Times New Roman" w:hAnsi="Times New Roman" w:cs="Times New Roman"/>
          <w:sz w:val="20"/>
          <w:szCs w:val="20"/>
        </w:rPr>
      </w:pPr>
      <w:r w:rsidRPr="00415C56">
        <w:rPr>
          <w:rFonts w:ascii="Times New Roman" w:eastAsia="Times New Roman" w:hAnsi="Times New Roman" w:cs="Times New Roman"/>
          <w:sz w:val="20"/>
          <w:szCs w:val="20"/>
        </w:rPr>
        <w:t>The final phase of the analysis included calibration, validation, and sensitivity analysis.</w:t>
      </w:r>
      <w:r>
        <w:rPr>
          <w:rFonts w:ascii="Times New Roman" w:eastAsia="Times New Roman" w:hAnsi="Times New Roman" w:cs="Times New Roman"/>
          <w:sz w:val="20"/>
          <w:szCs w:val="20"/>
        </w:rPr>
        <w:t xml:space="preserve"> </w:t>
      </w:r>
      <w:r w:rsidRPr="00415C56">
        <w:rPr>
          <w:rFonts w:ascii="Times New Roman" w:eastAsia="Times New Roman" w:hAnsi="Times New Roman" w:cs="Times New Roman"/>
          <w:sz w:val="20"/>
          <w:szCs w:val="20"/>
        </w:rPr>
        <w:t xml:space="preserve">The SWAT model was used to analyze data for the Ndarugu – Thiririka sub-catchments, dividing the watershed into sub-catchments based on the slope direction of the Digital Elevation Model and description of the outlet locations. </w:t>
      </w:r>
    </w:p>
    <w:p w14:paraId="2498D61C" w14:textId="77777777" w:rsidR="00415C56" w:rsidRDefault="00415C56" w:rsidP="003D6267">
      <w:pPr>
        <w:spacing w:after="0" w:line="480" w:lineRule="auto"/>
        <w:jc w:val="both"/>
        <w:rPr>
          <w:rFonts w:ascii="Times New Roman" w:eastAsia="Times New Roman" w:hAnsi="Times New Roman" w:cs="Times New Roman"/>
          <w:sz w:val="20"/>
          <w:szCs w:val="20"/>
        </w:rPr>
      </w:pPr>
    </w:p>
    <w:p w14:paraId="740A23CE" w14:textId="77777777" w:rsidR="00B94FD1" w:rsidRDefault="00415C56" w:rsidP="003D6267">
      <w:pPr>
        <w:spacing w:after="0" w:line="480" w:lineRule="auto"/>
        <w:jc w:val="both"/>
        <w:rPr>
          <w:rFonts w:ascii="Times New Roman" w:eastAsia="Times New Roman" w:hAnsi="Times New Roman" w:cs="Times New Roman"/>
          <w:color w:val="1F1F1F"/>
          <w:sz w:val="20"/>
          <w:szCs w:val="20"/>
        </w:rPr>
      </w:pPr>
      <w:r w:rsidRPr="00415C56">
        <w:rPr>
          <w:rFonts w:ascii="Times New Roman" w:eastAsia="Times New Roman" w:hAnsi="Times New Roman" w:cs="Times New Roman"/>
          <w:sz w:val="20"/>
          <w:szCs w:val="20"/>
        </w:rPr>
        <w:lastRenderedPageBreak/>
        <w:t xml:space="preserve">The model generated Hydrologic Response Units (HRUs) with unique land use and soil combinations after adding the soil maps and the land use and land cover use maps to the </w:t>
      </w:r>
      <w:r w:rsidR="00F969C2" w:rsidRPr="00415C56">
        <w:rPr>
          <w:rFonts w:ascii="Times New Roman" w:eastAsia="Times New Roman" w:hAnsi="Times New Roman" w:cs="Times New Roman"/>
          <w:sz w:val="20"/>
          <w:szCs w:val="20"/>
        </w:rPr>
        <w:t>model.</w:t>
      </w:r>
      <w:r w:rsidR="00F969C2" w:rsidRPr="00415C56">
        <w:rPr>
          <w:rFonts w:ascii="Times New Roman" w:eastAsia="Times New Roman" w:hAnsi="Times New Roman" w:cs="Times New Roman"/>
          <w:color w:val="1F1F1F"/>
          <w:sz w:val="20"/>
          <w:szCs w:val="20"/>
        </w:rPr>
        <w:t xml:space="preserve"> The</w:t>
      </w:r>
      <w:r w:rsidRPr="00415C56">
        <w:rPr>
          <w:rFonts w:ascii="Times New Roman" w:eastAsia="Times New Roman" w:hAnsi="Times New Roman" w:cs="Times New Roman"/>
          <w:color w:val="1F1F1F"/>
          <w:sz w:val="20"/>
          <w:szCs w:val="20"/>
        </w:rPr>
        <w:t xml:space="preserve"> analysis involved reclassifying LULC category and soil types using lookup tables to ensure their compatibility with the SWAT model. </w:t>
      </w:r>
    </w:p>
    <w:p w14:paraId="2E559874" w14:textId="77777777" w:rsidR="00B94FD1" w:rsidRPr="00B94FD1" w:rsidRDefault="00B94FD1" w:rsidP="003D6267">
      <w:pPr>
        <w:spacing w:after="0" w:line="480" w:lineRule="auto"/>
        <w:jc w:val="both"/>
        <w:rPr>
          <w:rFonts w:ascii="Times New Roman" w:eastAsia="Times New Roman" w:hAnsi="Times New Roman" w:cs="Times New Roman"/>
          <w:color w:val="1F1F1F"/>
          <w:sz w:val="8"/>
          <w:szCs w:val="8"/>
        </w:rPr>
      </w:pPr>
    </w:p>
    <w:p w14:paraId="19960D8E" w14:textId="440C7E49" w:rsidR="00FB582E" w:rsidRDefault="00415C56" w:rsidP="003D6267">
      <w:pPr>
        <w:spacing w:after="0" w:line="480" w:lineRule="auto"/>
        <w:jc w:val="both"/>
        <w:rPr>
          <w:rFonts w:ascii="Times New Roman" w:eastAsia="Times New Roman" w:hAnsi="Times New Roman" w:cs="Times New Roman"/>
          <w:sz w:val="20"/>
          <w:szCs w:val="20"/>
        </w:rPr>
      </w:pPr>
      <w:r w:rsidRPr="00415C56">
        <w:rPr>
          <w:rFonts w:ascii="Times New Roman" w:eastAsia="Times New Roman" w:hAnsi="Times New Roman" w:cs="Times New Roman"/>
          <w:color w:val="1F1F1F"/>
          <w:sz w:val="20"/>
          <w:szCs w:val="20"/>
        </w:rPr>
        <w:t>A "User Soil" database table for the Ndarugu – Thiririka sub-catchments was developed to reclassify the soil data.</w:t>
      </w:r>
      <w:r>
        <w:rPr>
          <w:rFonts w:ascii="Times New Roman" w:eastAsia="Times New Roman" w:hAnsi="Times New Roman" w:cs="Times New Roman"/>
          <w:color w:val="1F1F1F"/>
          <w:sz w:val="20"/>
          <w:szCs w:val="20"/>
        </w:rPr>
        <w:t xml:space="preserve"> </w:t>
      </w:r>
      <w:r w:rsidR="00FB582E">
        <w:rPr>
          <w:rFonts w:ascii="Times New Roman" w:eastAsia="Times New Roman" w:hAnsi="Times New Roman" w:cs="Times New Roman"/>
          <w:sz w:val="20"/>
          <w:szCs w:val="20"/>
        </w:rPr>
        <w:t>Besides</w:t>
      </w:r>
      <w:r w:rsidR="00FB582E" w:rsidRPr="00C54DDC">
        <w:rPr>
          <w:rFonts w:ascii="Times New Roman" w:eastAsia="Times New Roman" w:hAnsi="Times New Roman" w:cs="Times New Roman"/>
          <w:sz w:val="20"/>
          <w:szCs w:val="20"/>
        </w:rPr>
        <w:t xml:space="preserve">, </w:t>
      </w:r>
      <w:r w:rsidR="00FB582E">
        <w:rPr>
          <w:rFonts w:ascii="Times New Roman" w:eastAsia="Times New Roman" w:hAnsi="Times New Roman" w:cs="Times New Roman"/>
          <w:sz w:val="20"/>
          <w:szCs w:val="20"/>
        </w:rPr>
        <w:t xml:space="preserve">the </w:t>
      </w:r>
      <w:r w:rsidR="00FB582E" w:rsidRPr="00C54DDC">
        <w:rPr>
          <w:rFonts w:ascii="Times New Roman" w:eastAsia="Times New Roman" w:hAnsi="Times New Roman" w:cs="Times New Roman"/>
          <w:sz w:val="20"/>
          <w:szCs w:val="20"/>
        </w:rPr>
        <w:t>SOTER WISE soil data were reclassified to SWAT coded data using lookup table</w:t>
      </w:r>
      <w:r w:rsidR="00FB582E">
        <w:rPr>
          <w:rFonts w:ascii="Times New Roman" w:eastAsia="Times New Roman" w:hAnsi="Times New Roman" w:cs="Times New Roman"/>
          <w:sz w:val="20"/>
          <w:szCs w:val="20"/>
        </w:rPr>
        <w:t xml:space="preserve"> for further analysis</w:t>
      </w:r>
      <w:r w:rsidR="00FB582E" w:rsidRPr="00C54DD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weather </w:t>
      </w:r>
      <w:r w:rsidR="00FB582E">
        <w:rPr>
          <w:rFonts w:ascii="Times New Roman" w:eastAsia="Times New Roman" w:hAnsi="Times New Roman" w:cs="Times New Roman"/>
          <w:sz w:val="20"/>
          <w:szCs w:val="20"/>
        </w:rPr>
        <w:t xml:space="preserve">data </w:t>
      </w:r>
      <w:r>
        <w:rPr>
          <w:rFonts w:ascii="Times New Roman" w:eastAsia="Times New Roman" w:hAnsi="Times New Roman" w:cs="Times New Roman"/>
          <w:sz w:val="20"/>
          <w:szCs w:val="20"/>
        </w:rPr>
        <w:t>of the</w:t>
      </w:r>
      <w:r w:rsidR="00FB582E">
        <w:rPr>
          <w:rFonts w:ascii="Times New Roman" w:eastAsia="Times New Roman" w:hAnsi="Times New Roman" w:cs="Times New Roman"/>
          <w:sz w:val="20"/>
          <w:szCs w:val="20"/>
        </w:rPr>
        <w:t xml:space="preserve"> daily precipitation and temperature </w:t>
      </w:r>
      <w:r>
        <w:rPr>
          <w:rFonts w:ascii="Times New Roman" w:eastAsia="Times New Roman" w:hAnsi="Times New Roman" w:cs="Times New Roman"/>
          <w:sz w:val="20"/>
          <w:szCs w:val="20"/>
        </w:rPr>
        <w:t xml:space="preserve">were </w:t>
      </w:r>
      <w:r w:rsidR="00FB582E">
        <w:rPr>
          <w:rFonts w:ascii="Times New Roman" w:eastAsia="Times New Roman" w:hAnsi="Times New Roman" w:cs="Times New Roman"/>
          <w:sz w:val="20"/>
          <w:szCs w:val="20"/>
        </w:rPr>
        <w:t xml:space="preserve">modified into text format for </w:t>
      </w:r>
      <w:r w:rsidR="007F5364">
        <w:rPr>
          <w:rFonts w:ascii="Times New Roman" w:eastAsia="Times New Roman" w:hAnsi="Times New Roman" w:cs="Times New Roman"/>
          <w:sz w:val="20"/>
          <w:szCs w:val="20"/>
        </w:rPr>
        <w:t xml:space="preserve">the analysis in SWAT model and added in to </w:t>
      </w:r>
      <w:r w:rsidR="00FB582E" w:rsidRPr="00C54DDC">
        <w:rPr>
          <w:rFonts w:ascii="Times New Roman" w:eastAsia="Times New Roman" w:hAnsi="Times New Roman" w:cs="Times New Roman"/>
          <w:sz w:val="20"/>
          <w:szCs w:val="20"/>
        </w:rPr>
        <w:t>project database.</w:t>
      </w:r>
    </w:p>
    <w:p w14:paraId="158742D4" w14:textId="011B70D9" w:rsidR="00415C56" w:rsidRPr="00415C56" w:rsidRDefault="00415C56" w:rsidP="003D6267">
      <w:pPr>
        <w:spacing w:after="0" w:line="480" w:lineRule="auto"/>
        <w:jc w:val="both"/>
        <w:rPr>
          <w:rFonts w:ascii="Times New Roman" w:eastAsia="Times New Roman" w:hAnsi="Times New Roman" w:cs="Times New Roman"/>
          <w:sz w:val="16"/>
          <w:szCs w:val="16"/>
        </w:rPr>
      </w:pPr>
    </w:p>
    <w:p w14:paraId="14C4E04B" w14:textId="047D945F" w:rsidR="00415C56" w:rsidRPr="00415C56" w:rsidRDefault="00415C56" w:rsidP="003D6267">
      <w:pPr>
        <w:spacing w:after="0" w:line="480" w:lineRule="auto"/>
        <w:jc w:val="both"/>
        <w:rPr>
          <w:rFonts w:ascii="Times New Roman" w:eastAsia="Times New Roman" w:hAnsi="Times New Roman" w:cs="Times New Roman"/>
          <w:sz w:val="20"/>
          <w:szCs w:val="20"/>
        </w:rPr>
      </w:pPr>
      <w:r w:rsidRPr="00415C56">
        <w:rPr>
          <w:rFonts w:ascii="Times New Roman" w:hAnsi="Times New Roman" w:cs="Times New Roman"/>
          <w:sz w:val="20"/>
          <w:szCs w:val="20"/>
          <w:shd w:val="clear" w:color="auto" w:fill="FFFFFF"/>
        </w:rPr>
        <w:t xml:space="preserve">The additional weather data </w:t>
      </w:r>
      <w:r w:rsidR="00B94FD1">
        <w:rPr>
          <w:rFonts w:ascii="Times New Roman" w:hAnsi="Times New Roman" w:cs="Times New Roman"/>
          <w:sz w:val="20"/>
          <w:szCs w:val="20"/>
          <w:shd w:val="clear" w:color="auto" w:fill="FFFFFF"/>
        </w:rPr>
        <w:t xml:space="preserve">such as </w:t>
      </w:r>
      <w:r w:rsidRPr="00415C56">
        <w:rPr>
          <w:rFonts w:ascii="Times New Roman" w:hAnsi="Times New Roman" w:cs="Times New Roman"/>
          <w:sz w:val="20"/>
          <w:szCs w:val="20"/>
          <w:shd w:val="clear" w:color="auto" w:fill="FFFFFF"/>
        </w:rPr>
        <w:t>humidity, solar radiation, and wind velocity, which were crucial for hydrologic processes such as evapotranspiration, lateral flow, base flow, and surface runoff were added to the project database of the SWAT model.</w:t>
      </w:r>
      <w:r>
        <w:rPr>
          <w:rFonts w:ascii="Times New Roman" w:hAnsi="Times New Roman" w:cs="Times New Roman"/>
          <w:sz w:val="20"/>
          <w:szCs w:val="20"/>
          <w:shd w:val="clear" w:color="auto" w:fill="FFFFFF"/>
        </w:rPr>
        <w:t xml:space="preserve"> </w:t>
      </w:r>
      <w:r w:rsidRPr="00415C56">
        <w:rPr>
          <w:rFonts w:ascii="Times New Roman" w:hAnsi="Times New Roman" w:cs="Times New Roman"/>
          <w:sz w:val="20"/>
          <w:szCs w:val="20"/>
          <w:shd w:val="clear" w:color="auto" w:fill="FFFFFF"/>
        </w:rPr>
        <w:t>The model was run to calculate hydrologic characteristics and water balance for the Ndarugu – Thiririka sub-catchments after preparing necessary datasets for simulation.</w:t>
      </w:r>
    </w:p>
    <w:p w14:paraId="2E539911" w14:textId="77777777" w:rsidR="006522C3" w:rsidRPr="00CB737B" w:rsidRDefault="006522C3" w:rsidP="00CB737B">
      <w:pPr>
        <w:spacing w:after="240" w:line="240" w:lineRule="auto"/>
        <w:rPr>
          <w:rFonts w:ascii="Times New Roman" w:eastAsia="Times New Roman" w:hAnsi="Times New Roman" w:cs="Times New Roman"/>
          <w:sz w:val="2"/>
          <w:szCs w:val="2"/>
        </w:rPr>
      </w:pPr>
    </w:p>
    <w:p w14:paraId="2330CFD6" w14:textId="53115844" w:rsidR="00972D15" w:rsidRDefault="00972D15" w:rsidP="00972D15">
      <w:pPr>
        <w:spacing w:line="480" w:lineRule="auto"/>
        <w:rPr>
          <w:rFonts w:ascii="Times New Roman" w:hAnsi="Times New Roman"/>
          <w:b/>
          <w:bCs/>
          <w:sz w:val="20"/>
          <w:szCs w:val="20"/>
        </w:rPr>
      </w:pPr>
      <w:r>
        <w:rPr>
          <w:rFonts w:ascii="Times New Roman" w:hAnsi="Times New Roman"/>
          <w:b/>
          <w:bCs/>
          <w:sz w:val="20"/>
          <w:szCs w:val="20"/>
        </w:rPr>
        <w:t>3.</w:t>
      </w:r>
      <w:r w:rsidR="00BF60AE">
        <w:rPr>
          <w:rFonts w:ascii="Times New Roman" w:hAnsi="Times New Roman"/>
          <w:b/>
          <w:bCs/>
          <w:sz w:val="20"/>
          <w:szCs w:val="20"/>
        </w:rPr>
        <w:t>5</w:t>
      </w:r>
      <w:r>
        <w:rPr>
          <w:rFonts w:ascii="Times New Roman" w:hAnsi="Times New Roman"/>
          <w:b/>
          <w:bCs/>
          <w:sz w:val="20"/>
          <w:szCs w:val="20"/>
        </w:rPr>
        <w:tab/>
        <w:t>Performance Evaluation of the SWAT model</w:t>
      </w:r>
    </w:p>
    <w:p w14:paraId="54445AD0" w14:textId="77777777" w:rsidR="00415C56" w:rsidRDefault="00415C56" w:rsidP="00E93D4C">
      <w:pPr>
        <w:spacing w:line="480" w:lineRule="auto"/>
        <w:jc w:val="both"/>
        <w:rPr>
          <w:rFonts w:ascii="Times New Roman" w:hAnsi="Times New Roman"/>
          <w:sz w:val="20"/>
          <w:szCs w:val="20"/>
        </w:rPr>
      </w:pPr>
      <w:r w:rsidRPr="00415C56">
        <w:rPr>
          <w:rFonts w:ascii="Times New Roman" w:hAnsi="Times New Roman"/>
          <w:sz w:val="20"/>
          <w:szCs w:val="20"/>
        </w:rPr>
        <w:t>The modelling of watershed hydrology inherently errors due to uncertainties related to the model's structure, parametric parameters, and measurements (Gupta and Govindaraju, 2019). Structural uncertainty is the most challenging to define among these uncertainties because it arises from the simplified representation of reality in the models</w:t>
      </w:r>
      <w:r>
        <w:rPr>
          <w:rFonts w:ascii="Times New Roman" w:hAnsi="Times New Roman"/>
          <w:sz w:val="20"/>
          <w:szCs w:val="20"/>
        </w:rPr>
        <w:t xml:space="preserve"> (</w:t>
      </w:r>
      <w:r>
        <w:rPr>
          <w:rFonts w:ascii="Times New Roman" w:hAnsi="Times New Roman" w:cs="Times New Roman"/>
          <w:sz w:val="20"/>
          <w:szCs w:val="20"/>
          <w:shd w:val="clear" w:color="auto" w:fill="FFFFFF"/>
        </w:rPr>
        <w:t xml:space="preserve">Wu </w:t>
      </w:r>
      <w:r w:rsidRPr="00E45850">
        <w:rPr>
          <w:rFonts w:ascii="Times New Roman" w:hAnsi="Times New Roman" w:cs="Times New Roman"/>
          <w:i/>
          <w:iCs/>
          <w:sz w:val="20"/>
          <w:szCs w:val="20"/>
          <w:shd w:val="clear" w:color="auto" w:fill="FFFFFF"/>
        </w:rPr>
        <w:t>et al.,</w:t>
      </w:r>
      <w:r>
        <w:rPr>
          <w:rFonts w:ascii="Times New Roman" w:hAnsi="Times New Roman" w:cs="Times New Roman"/>
          <w:sz w:val="20"/>
          <w:szCs w:val="20"/>
          <w:shd w:val="clear" w:color="auto" w:fill="FFFFFF"/>
        </w:rPr>
        <w:t xml:space="preserve"> 2024)</w:t>
      </w:r>
      <w:r>
        <w:rPr>
          <w:rFonts w:ascii="Times New Roman" w:hAnsi="Times New Roman"/>
          <w:sz w:val="20"/>
          <w:szCs w:val="20"/>
        </w:rPr>
        <w:t xml:space="preserve">. </w:t>
      </w:r>
    </w:p>
    <w:p w14:paraId="4AFD04AE" w14:textId="77777777" w:rsidR="00415C56" w:rsidRPr="00415C56" w:rsidRDefault="00415C56" w:rsidP="00415C56">
      <w:pPr>
        <w:spacing w:line="240" w:lineRule="auto"/>
        <w:jc w:val="both"/>
        <w:rPr>
          <w:rFonts w:ascii="Times New Roman" w:hAnsi="Times New Roman"/>
          <w:sz w:val="2"/>
          <w:szCs w:val="2"/>
        </w:rPr>
      </w:pPr>
    </w:p>
    <w:p w14:paraId="759C5857" w14:textId="77777777" w:rsidR="00B94FD1" w:rsidRDefault="00415C56" w:rsidP="00E30995">
      <w:pPr>
        <w:spacing w:line="480" w:lineRule="auto"/>
        <w:jc w:val="both"/>
        <w:rPr>
          <w:rFonts w:ascii="Times New Roman" w:hAnsi="Times New Roman"/>
          <w:sz w:val="20"/>
          <w:szCs w:val="20"/>
        </w:rPr>
      </w:pPr>
      <w:r w:rsidRPr="00415C56">
        <w:rPr>
          <w:rFonts w:ascii="Times New Roman" w:hAnsi="Times New Roman"/>
          <w:sz w:val="20"/>
          <w:szCs w:val="20"/>
        </w:rPr>
        <w:t>Consequently, the parameters of the SWAT model need adjustment by comparing the simulated and observed streamflow values. The SWAT model was calibrated using the streamflow data record between 2006 and 2013 and validated using data from 2011 to 2013, including a warm-up phase from 2007 to 2008.</w:t>
      </w:r>
      <w:r w:rsidR="00B94FD1">
        <w:rPr>
          <w:rFonts w:ascii="Times New Roman" w:hAnsi="Times New Roman"/>
          <w:sz w:val="20"/>
          <w:szCs w:val="20"/>
        </w:rPr>
        <w:t xml:space="preserve"> </w:t>
      </w:r>
      <w:r w:rsidR="00E45850" w:rsidRPr="00FA309F">
        <w:rPr>
          <w:rFonts w:ascii="Times New Roman" w:hAnsi="Times New Roman"/>
          <w:sz w:val="20"/>
          <w:szCs w:val="20"/>
        </w:rPr>
        <w:t xml:space="preserve">A total number of 16 </w:t>
      </w:r>
      <w:r w:rsidR="00E45850">
        <w:rPr>
          <w:rFonts w:ascii="Times New Roman" w:hAnsi="Times New Roman"/>
          <w:sz w:val="20"/>
          <w:szCs w:val="20"/>
        </w:rPr>
        <w:t xml:space="preserve">parameters related to water balance </w:t>
      </w:r>
      <w:r w:rsidR="00E45850" w:rsidRPr="00FA309F">
        <w:rPr>
          <w:rFonts w:ascii="Times New Roman" w:hAnsi="Times New Roman"/>
          <w:sz w:val="20"/>
          <w:szCs w:val="20"/>
        </w:rPr>
        <w:t>were used</w:t>
      </w:r>
      <w:r w:rsidR="00B94FD1">
        <w:rPr>
          <w:rFonts w:ascii="Times New Roman" w:hAnsi="Times New Roman"/>
          <w:sz w:val="20"/>
          <w:szCs w:val="20"/>
        </w:rPr>
        <w:t xml:space="preserve">. The </w:t>
      </w:r>
      <w:r w:rsidR="00B94FD1" w:rsidRPr="00FA309F">
        <w:rPr>
          <w:rFonts w:ascii="Times New Roman" w:hAnsi="Times New Roman"/>
          <w:sz w:val="20"/>
          <w:szCs w:val="20"/>
        </w:rPr>
        <w:t>data</w:t>
      </w:r>
      <w:r w:rsidR="00E45850" w:rsidRPr="00FA309F">
        <w:rPr>
          <w:rFonts w:ascii="Times New Roman" w:hAnsi="Times New Roman"/>
          <w:sz w:val="20"/>
          <w:szCs w:val="20"/>
        </w:rPr>
        <w:t xml:space="preserve"> was </w:t>
      </w:r>
      <w:r w:rsidR="00E45850">
        <w:rPr>
          <w:rFonts w:ascii="Times New Roman" w:hAnsi="Times New Roman"/>
          <w:sz w:val="20"/>
          <w:szCs w:val="20"/>
        </w:rPr>
        <w:t>analyzed</w:t>
      </w:r>
      <w:r w:rsidR="00E45850" w:rsidRPr="00FA309F">
        <w:rPr>
          <w:rFonts w:ascii="Times New Roman" w:hAnsi="Times New Roman"/>
          <w:sz w:val="20"/>
          <w:szCs w:val="20"/>
        </w:rPr>
        <w:t xml:space="preserve"> using the SUFI-2 </w:t>
      </w:r>
      <w:r w:rsidR="00E45850">
        <w:rPr>
          <w:rFonts w:ascii="Times New Roman" w:hAnsi="Times New Roman"/>
          <w:sz w:val="20"/>
          <w:szCs w:val="20"/>
        </w:rPr>
        <w:t xml:space="preserve">algorith </w:t>
      </w:r>
      <w:r w:rsidR="00E45850" w:rsidRPr="00FA309F">
        <w:rPr>
          <w:rFonts w:ascii="Times New Roman" w:hAnsi="Times New Roman"/>
          <w:sz w:val="20"/>
          <w:szCs w:val="20"/>
        </w:rPr>
        <w:t xml:space="preserve">in the SWAT – CUP version of 5.1.6. The </w:t>
      </w:r>
      <w:r w:rsidR="00E45850">
        <w:rPr>
          <w:rFonts w:ascii="Times New Roman" w:hAnsi="Times New Roman"/>
          <w:sz w:val="20"/>
          <w:szCs w:val="20"/>
        </w:rPr>
        <w:t>SUFI -</w:t>
      </w:r>
      <w:r w:rsidR="00B94FD1">
        <w:rPr>
          <w:rFonts w:ascii="Times New Roman" w:hAnsi="Times New Roman"/>
          <w:sz w:val="20"/>
          <w:szCs w:val="20"/>
        </w:rPr>
        <w:t xml:space="preserve"> </w:t>
      </w:r>
      <w:r w:rsidR="00E45850">
        <w:rPr>
          <w:rFonts w:ascii="Times New Roman" w:hAnsi="Times New Roman"/>
          <w:sz w:val="20"/>
          <w:szCs w:val="20"/>
        </w:rPr>
        <w:t>2 algorithm</w:t>
      </w:r>
      <w:r w:rsidR="00B94FD1">
        <w:rPr>
          <w:rFonts w:ascii="Times New Roman" w:hAnsi="Times New Roman"/>
          <w:sz w:val="20"/>
          <w:szCs w:val="20"/>
        </w:rPr>
        <w:t>.</w:t>
      </w:r>
    </w:p>
    <w:p w14:paraId="2E54BF78" w14:textId="5B19E176" w:rsidR="00415C56" w:rsidRDefault="00B94FD1" w:rsidP="00E30995">
      <w:pPr>
        <w:spacing w:line="480" w:lineRule="auto"/>
        <w:jc w:val="both"/>
        <w:rPr>
          <w:rFonts w:ascii="Times New Roman" w:hAnsi="Times New Roman"/>
          <w:sz w:val="20"/>
          <w:szCs w:val="20"/>
        </w:rPr>
      </w:pPr>
      <w:r>
        <w:rPr>
          <w:rFonts w:ascii="Times New Roman" w:hAnsi="Times New Roman"/>
          <w:sz w:val="20"/>
          <w:szCs w:val="20"/>
        </w:rPr>
        <w:t xml:space="preserve">The algorithm </w:t>
      </w:r>
      <w:r w:rsidR="00E45850" w:rsidRPr="00FA309F">
        <w:rPr>
          <w:rFonts w:ascii="Times New Roman" w:hAnsi="Times New Roman"/>
          <w:sz w:val="20"/>
          <w:szCs w:val="20"/>
        </w:rPr>
        <w:t>evaluate</w:t>
      </w:r>
      <w:r w:rsidR="00E45850">
        <w:rPr>
          <w:rFonts w:ascii="Times New Roman" w:hAnsi="Times New Roman"/>
          <w:sz w:val="20"/>
          <w:szCs w:val="20"/>
        </w:rPr>
        <w:t>s</w:t>
      </w:r>
      <w:r w:rsidR="00E45850" w:rsidRPr="00FA309F">
        <w:rPr>
          <w:rFonts w:ascii="Times New Roman" w:hAnsi="Times New Roman"/>
          <w:sz w:val="20"/>
          <w:szCs w:val="20"/>
        </w:rPr>
        <w:t xml:space="preserve"> uncertainty in a wide range of models, from simple to complex. In the study, five hundred iterations were run to obtain reasonable results.</w:t>
      </w:r>
      <w:r w:rsidR="00E45850">
        <w:rPr>
          <w:rFonts w:ascii="Times New Roman" w:hAnsi="Times New Roman"/>
          <w:sz w:val="20"/>
          <w:szCs w:val="20"/>
        </w:rPr>
        <w:t xml:space="preserve"> </w:t>
      </w:r>
      <w:r w:rsidR="00B84939" w:rsidRPr="00B84939">
        <w:rPr>
          <w:rFonts w:ascii="Times New Roman" w:hAnsi="Times New Roman"/>
          <w:sz w:val="20"/>
          <w:szCs w:val="20"/>
        </w:rPr>
        <w:t xml:space="preserve">The parameters for the SWAT model are adjusted to the simulated streamflow values to compare with observed streamflow values. </w:t>
      </w:r>
    </w:p>
    <w:p w14:paraId="1F14478D" w14:textId="1DB276E0" w:rsidR="003C0779" w:rsidRDefault="00B84939" w:rsidP="00E30995">
      <w:pPr>
        <w:spacing w:line="480" w:lineRule="auto"/>
        <w:jc w:val="both"/>
        <w:rPr>
          <w:rFonts w:ascii="Times New Roman" w:hAnsi="Times New Roman" w:cs="Times New Roman"/>
          <w:sz w:val="20"/>
          <w:szCs w:val="20"/>
          <w:shd w:val="clear" w:color="auto" w:fill="FFFFFF"/>
        </w:rPr>
      </w:pPr>
      <w:r w:rsidRPr="00B84939">
        <w:rPr>
          <w:rFonts w:ascii="Times New Roman" w:hAnsi="Times New Roman"/>
          <w:sz w:val="20"/>
          <w:szCs w:val="20"/>
        </w:rPr>
        <w:lastRenderedPageBreak/>
        <w:t xml:space="preserve">The uncertainties in the conceptual model, input data, actual data, and other factors that characterize watershed models </w:t>
      </w:r>
      <w:r w:rsidR="00415C56">
        <w:rPr>
          <w:rFonts w:ascii="Times New Roman" w:hAnsi="Times New Roman"/>
          <w:sz w:val="20"/>
          <w:szCs w:val="20"/>
        </w:rPr>
        <w:t xml:space="preserve">were corrected through </w:t>
      </w:r>
      <w:r w:rsidR="00267D56" w:rsidRPr="00CE761A">
        <w:rPr>
          <w:rFonts w:ascii="Times New Roman" w:hAnsi="Times New Roman" w:cs="Times New Roman"/>
          <w:sz w:val="20"/>
          <w:szCs w:val="20"/>
          <w:shd w:val="clear" w:color="auto" w:fill="FFFFFF"/>
        </w:rPr>
        <w:t>the P-factor and R-factor</w:t>
      </w:r>
      <w:r w:rsidR="006236FA">
        <w:rPr>
          <w:rFonts w:ascii="Times New Roman" w:hAnsi="Times New Roman" w:cs="Times New Roman"/>
          <w:sz w:val="20"/>
          <w:szCs w:val="20"/>
          <w:shd w:val="clear" w:color="auto" w:fill="FFFFFF"/>
        </w:rPr>
        <w:t xml:space="preserve">. </w:t>
      </w:r>
      <w:r w:rsidR="006236FA" w:rsidRPr="001D5584">
        <w:rPr>
          <w:rFonts w:ascii="Times New Roman" w:hAnsi="Times New Roman" w:cs="Times New Roman"/>
          <w:color w:val="1F1F1F"/>
          <w:sz w:val="20"/>
          <w:szCs w:val="20"/>
          <w:shd w:val="clear" w:color="auto" w:fill="FFFFFF"/>
        </w:rPr>
        <w:t>Theoretically, the P factor's value ranges between 0% and 100%, and the R factor's value ranges between 0 and infinity.</w:t>
      </w:r>
      <w:r w:rsidR="006236FA">
        <w:rPr>
          <w:rFonts w:ascii="Times New Roman" w:hAnsi="Times New Roman" w:cs="Times New Roman"/>
          <w:color w:val="1F1F1F"/>
          <w:sz w:val="20"/>
          <w:szCs w:val="20"/>
          <w:shd w:val="clear" w:color="auto" w:fill="FFFFFF"/>
        </w:rPr>
        <w:t xml:space="preserve"> </w:t>
      </w:r>
      <w:r w:rsidR="001D5584" w:rsidRPr="001D5584">
        <w:rPr>
          <w:rFonts w:ascii="Times New Roman" w:hAnsi="Times New Roman" w:cs="Times New Roman"/>
          <w:color w:val="1F1F1F"/>
          <w:sz w:val="20"/>
          <w:szCs w:val="20"/>
          <w:shd w:val="clear" w:color="auto" w:fill="FFFFFF"/>
        </w:rPr>
        <w:t xml:space="preserve">The sensitivity analyses and the objective function are evaluated using Latin hypercube sampling.  The 95% prediction uncertainty (95PPU) is obtained by calculating the uncertainties at the 2.5% and 97.5% levels of the cumulative distribution of all outcome variables. </w:t>
      </w:r>
      <w:r w:rsidR="00415C56">
        <w:rPr>
          <w:rFonts w:ascii="Times New Roman" w:hAnsi="Times New Roman" w:cs="Times New Roman"/>
          <w:color w:val="1F1F1F"/>
          <w:sz w:val="20"/>
          <w:szCs w:val="20"/>
          <w:shd w:val="clear" w:color="auto" w:fill="FFFFFF"/>
        </w:rPr>
        <w:t xml:space="preserve"> Additionally, the </w:t>
      </w:r>
      <w:r w:rsidR="00415C56" w:rsidRPr="001D5584">
        <w:rPr>
          <w:rFonts w:ascii="Times New Roman" w:hAnsi="Times New Roman" w:cs="Times New Roman"/>
          <w:color w:val="1F1F1F"/>
          <w:sz w:val="20"/>
          <w:szCs w:val="20"/>
          <w:shd w:val="clear" w:color="auto" w:fill="FFFFFF"/>
        </w:rPr>
        <w:t>study</w:t>
      </w:r>
      <w:r w:rsidR="001D5584" w:rsidRPr="001D5584">
        <w:rPr>
          <w:rFonts w:ascii="Times New Roman" w:hAnsi="Times New Roman" w:cs="Times New Roman"/>
          <w:color w:val="1F1F1F"/>
          <w:sz w:val="20"/>
          <w:szCs w:val="20"/>
          <w:shd w:val="clear" w:color="auto" w:fill="FFFFFF"/>
        </w:rPr>
        <w:t xml:space="preserve"> employed the Nash-Sutcliff Efficiency (ENS) and the Coefficient of Determination (R2), and the </w:t>
      </w:r>
      <w:r w:rsidR="00415C56">
        <w:rPr>
          <w:rFonts w:ascii="Times New Roman" w:hAnsi="Times New Roman" w:cs="Times New Roman"/>
          <w:color w:val="1F1F1F"/>
          <w:sz w:val="20"/>
          <w:szCs w:val="20"/>
          <w:shd w:val="clear" w:color="auto" w:fill="FFFFFF"/>
        </w:rPr>
        <w:t>equations are stated below</w:t>
      </w:r>
    </w:p>
    <w:p w14:paraId="6840D828" w14:textId="34525D98" w:rsidR="00972D15" w:rsidRDefault="00972D15" w:rsidP="00972D15">
      <w:pPr>
        <w:spacing w:line="480" w:lineRule="auto"/>
        <w:jc w:val="both"/>
      </w:pPr>
      <w:r w:rsidRPr="00BB4197">
        <w:rPr>
          <w:noProof/>
          <w:sz w:val="20"/>
          <w:szCs w:val="20"/>
        </w:rPr>
        <w:drawing>
          <wp:inline distT="0" distB="0" distL="0" distR="0" wp14:anchorId="53B9B995" wp14:editId="1E3815BD">
            <wp:extent cx="2240782" cy="803868"/>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50572" t="44261" r="31654" b="46798"/>
                    <a:stretch/>
                  </pic:blipFill>
                  <pic:spPr bwMode="auto">
                    <a:xfrm>
                      <a:off x="0" y="0"/>
                      <a:ext cx="2252205" cy="807966"/>
                    </a:xfrm>
                    <a:prstGeom prst="rect">
                      <a:avLst/>
                    </a:prstGeom>
                    <a:noFill/>
                    <a:ln>
                      <a:noFill/>
                    </a:ln>
                    <a:extLst>
                      <a:ext uri="{53640926-AAD7-44D8-BBD7-CCE9431645EC}">
                        <a14:shadowObscured xmlns:a14="http://schemas.microsoft.com/office/drawing/2010/main"/>
                      </a:ext>
                    </a:extLst>
                  </pic:spPr>
                </pic:pic>
              </a:graphicData>
            </a:graphic>
          </wp:inline>
        </w:drawing>
      </w:r>
      <m:oMath>
        <m:r>
          <w:rPr>
            <w:rFonts w:ascii="Cambria Math" w:hAnsi="Cambria Math"/>
          </w:rPr>
          <m:t>……………………………………10</m:t>
        </m:r>
      </m:oMath>
    </w:p>
    <w:p w14:paraId="2108F708" w14:textId="5BDE2698" w:rsidR="00415C56" w:rsidRPr="00415C56" w:rsidRDefault="00415C56" w:rsidP="00972D15">
      <w:pPr>
        <w:spacing w:line="480" w:lineRule="auto"/>
        <w:jc w:val="both"/>
        <w:rPr>
          <w:sz w:val="20"/>
          <w:szCs w:val="20"/>
        </w:rPr>
      </w:pPr>
      <w:r w:rsidRPr="00415C56">
        <w:rPr>
          <w:noProof/>
          <w:sz w:val="20"/>
          <w:szCs w:val="20"/>
        </w:rPr>
        <w:drawing>
          <wp:inline distT="0" distB="0" distL="0" distR="0" wp14:anchorId="1C339A13" wp14:editId="04769BEB">
            <wp:extent cx="2339619" cy="78377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a:srcRect l="18591" t="50620" r="62200" b="38120"/>
                    <a:stretch>
                      <a:fillRect/>
                    </a:stretch>
                  </pic:blipFill>
                  <pic:spPr>
                    <a:xfrm>
                      <a:off x="0" y="0"/>
                      <a:ext cx="2355527" cy="789101"/>
                    </a:xfrm>
                    <a:prstGeom prst="rect">
                      <a:avLst/>
                    </a:prstGeom>
                    <a:ln>
                      <a:noFill/>
                    </a:ln>
                  </pic:spPr>
                </pic:pic>
              </a:graphicData>
            </a:graphic>
          </wp:inline>
        </w:drawing>
      </w:r>
      <m:oMath>
        <m:r>
          <w:rPr>
            <w:rFonts w:ascii="Cambria Math" w:hAnsi="Cambria Math"/>
            <w:sz w:val="20"/>
            <w:szCs w:val="20"/>
          </w:rPr>
          <m:t>…………………….……………….11</m:t>
        </m:r>
      </m:oMath>
    </w:p>
    <w:p w14:paraId="74318640" w14:textId="118E33C7" w:rsidR="00415C56" w:rsidRDefault="00415C56" w:rsidP="00972D15">
      <w:pPr>
        <w:spacing w:line="480" w:lineRule="auto"/>
        <w:jc w:val="both"/>
      </w:pPr>
      <w:r w:rsidRPr="00415C56">
        <w:rPr>
          <w:noProof/>
          <w:sz w:val="20"/>
          <w:szCs w:val="20"/>
        </w:rPr>
        <w:drawing>
          <wp:inline distT="0" distB="0" distL="0" distR="0" wp14:anchorId="479ADCB8" wp14:editId="1B1249B3">
            <wp:extent cx="2093595" cy="694690"/>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8"/>
                    <a:srcRect l="18590" t="61875" r="62195" b="26966"/>
                    <a:stretch>
                      <a:fillRect/>
                    </a:stretch>
                  </pic:blipFill>
                  <pic:spPr>
                    <a:xfrm>
                      <a:off x="0" y="0"/>
                      <a:ext cx="2093976" cy="694944"/>
                    </a:xfrm>
                    <a:prstGeom prst="rect">
                      <a:avLst/>
                    </a:prstGeom>
                    <a:ln>
                      <a:noFill/>
                    </a:ln>
                  </pic:spPr>
                </pic:pic>
              </a:graphicData>
            </a:graphic>
          </wp:inline>
        </w:drawing>
      </w:r>
      <m:oMath>
        <m:r>
          <w:rPr>
            <w:rFonts w:ascii="Cambria Math" w:hAnsi="Cambria Math"/>
            <w:sz w:val="20"/>
            <w:szCs w:val="20"/>
          </w:rPr>
          <m:t>………………………………………….12</m:t>
        </m:r>
      </m:oMath>
    </w:p>
    <w:p w14:paraId="1AB15C83" w14:textId="7661EA94" w:rsidR="00972D15" w:rsidRDefault="00972D15" w:rsidP="00972D15">
      <w:pPr>
        <w:spacing w:line="480" w:lineRule="auto"/>
        <w:jc w:val="both"/>
        <w:rPr>
          <w:rFonts w:ascii="Times New Roman" w:hAnsi="Times New Roman"/>
          <w:sz w:val="20"/>
          <w:szCs w:val="20"/>
        </w:rPr>
      </w:pPr>
      <w:r>
        <w:rPr>
          <w:rFonts w:ascii="Times New Roman" w:hAnsi="Times New Roman"/>
          <w:sz w:val="20"/>
          <w:szCs w:val="20"/>
        </w:rPr>
        <w:t>Where:</w:t>
      </w:r>
    </w:p>
    <w:p w14:paraId="010AFD20" w14:textId="186B706F" w:rsidR="00415C56" w:rsidRPr="00415C56" w:rsidRDefault="00B86247" w:rsidP="00415C56">
      <w:pPr>
        <w:pStyle w:val="ListParagraph"/>
        <w:ind w:left="0" w:firstLine="0"/>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R</m:t>
              </m:r>
            </m:e>
            <m:sup>
              <m:r>
                <m:rPr>
                  <m:sty m:val="p"/>
                </m:rPr>
                <w:rPr>
                  <w:rFonts w:ascii="Cambria Math" w:hAnsi="Cambria Math"/>
                  <w:sz w:val="20"/>
                  <w:szCs w:val="20"/>
                </w:rPr>
                <m:t>2</m:t>
              </m:r>
            </m:sup>
          </m:sSup>
          <m:r>
            <m:rPr>
              <m:sty m:val="p"/>
            </m:rPr>
            <w:rPr>
              <w:rFonts w:ascii="Cambria Math" w:hAnsi="Cambria Math"/>
              <w:sz w:val="20"/>
              <w:szCs w:val="20"/>
            </w:rPr>
            <m:t xml:space="preserve"> =  </m:t>
          </m:r>
          <m:r>
            <w:rPr>
              <w:rFonts w:ascii="Cambria Math" w:hAnsi="Cambria Math"/>
              <w:sz w:val="20"/>
              <w:szCs w:val="20"/>
            </w:rPr>
            <m:t>is</m:t>
          </m:r>
          <m:r>
            <m:rPr>
              <m:sty m:val="p"/>
            </m:rPr>
            <w:rPr>
              <w:rFonts w:ascii="Cambria Math" w:hAnsi="Cambria Math"/>
              <w:sz w:val="20"/>
              <w:szCs w:val="20"/>
            </w:rPr>
            <m:t xml:space="preserve"> </m:t>
          </m:r>
          <m:r>
            <w:rPr>
              <w:rFonts w:ascii="Cambria Math" w:hAnsi="Cambria Math"/>
              <w:sz w:val="20"/>
              <w:szCs w:val="20"/>
            </w:rPr>
            <m:t>the</m:t>
          </m:r>
          <m:r>
            <m:rPr>
              <m:sty m:val="p"/>
            </m:rPr>
            <w:rPr>
              <w:rFonts w:ascii="Cambria Math" w:hAnsi="Cambria Math"/>
              <w:sz w:val="20"/>
              <w:szCs w:val="20"/>
            </w:rPr>
            <m:t xml:space="preserve"> </m:t>
          </m:r>
          <m:r>
            <w:rPr>
              <w:rFonts w:ascii="Cambria Math" w:hAnsi="Cambria Math"/>
              <w:sz w:val="20"/>
              <w:szCs w:val="20"/>
            </w:rPr>
            <m:t>Coefficient</m:t>
          </m:r>
          <m:r>
            <m:rPr>
              <m:sty m:val="p"/>
            </m:rPr>
            <w:rPr>
              <w:rFonts w:ascii="Cambria Math" w:hAnsi="Cambria Math"/>
              <w:sz w:val="20"/>
              <w:szCs w:val="20"/>
            </w:rPr>
            <m:t xml:space="preserve"> </m:t>
          </m:r>
          <m:r>
            <w:rPr>
              <w:rFonts w:ascii="Cambria Math" w:hAnsi="Cambria Math"/>
              <w:sz w:val="20"/>
              <w:szCs w:val="20"/>
            </w:rPr>
            <m:t>of</m:t>
          </m:r>
          <m:r>
            <m:rPr>
              <m:sty m:val="p"/>
            </m:rPr>
            <w:rPr>
              <w:rFonts w:ascii="Cambria Math" w:hAnsi="Cambria Math"/>
              <w:sz w:val="20"/>
              <w:szCs w:val="20"/>
            </w:rPr>
            <m:t xml:space="preserve"> </m:t>
          </m:r>
          <m:r>
            <w:rPr>
              <w:rFonts w:ascii="Cambria Math" w:hAnsi="Cambria Math"/>
              <w:sz w:val="20"/>
              <w:szCs w:val="20"/>
            </w:rPr>
            <m:t>Determination</m:t>
          </m:r>
        </m:oMath>
      </m:oMathPara>
    </w:p>
    <w:p w14:paraId="041FE121" w14:textId="77777777" w:rsidR="00415C56" w:rsidRPr="00415C56" w:rsidRDefault="00415C56" w:rsidP="00415C56">
      <w:pPr>
        <w:rPr>
          <w:sz w:val="20"/>
          <w:szCs w:val="20"/>
        </w:rPr>
      </w:pPr>
      <m:oMathPara>
        <m:oMathParaPr>
          <m:jc m:val="left"/>
        </m:oMathParaPr>
        <m:oMath>
          <m:r>
            <w:rPr>
              <w:rFonts w:ascii="Cambria Math" w:hAnsi="Cambria Math"/>
              <w:sz w:val="20"/>
              <w:szCs w:val="20"/>
            </w:rPr>
            <m:t>PBIAS</m:t>
          </m:r>
          <m:r>
            <m:rPr>
              <m:sty m:val="p"/>
            </m:rPr>
            <w:rPr>
              <w:rFonts w:ascii="Cambria Math" w:hAnsi="Cambria Math"/>
              <w:sz w:val="20"/>
              <w:szCs w:val="20"/>
            </w:rPr>
            <m:t>=</m:t>
          </m:r>
          <m:r>
            <w:rPr>
              <w:rFonts w:ascii="Cambria Math" w:hAnsi="Cambria Math"/>
              <w:sz w:val="20"/>
              <w:szCs w:val="20"/>
            </w:rPr>
            <m:t>is</m:t>
          </m:r>
          <m:r>
            <m:rPr>
              <m:sty m:val="p"/>
            </m:rPr>
            <w:rPr>
              <w:rFonts w:ascii="Cambria Math" w:hAnsi="Cambria Math"/>
              <w:sz w:val="20"/>
              <w:szCs w:val="20"/>
            </w:rPr>
            <m:t xml:space="preserve"> </m:t>
          </m:r>
          <m:r>
            <w:rPr>
              <w:rFonts w:ascii="Cambria Math" w:hAnsi="Cambria Math"/>
              <w:sz w:val="20"/>
              <w:szCs w:val="20"/>
            </w:rPr>
            <m:t>the</m:t>
          </m:r>
          <m:r>
            <m:rPr>
              <m:sty m:val="p"/>
            </m:rPr>
            <w:rPr>
              <w:rFonts w:ascii="Cambria Math" w:hAnsi="Cambria Math"/>
              <w:sz w:val="20"/>
              <w:szCs w:val="20"/>
            </w:rPr>
            <m:t xml:space="preserve"> </m:t>
          </m:r>
          <m:r>
            <w:rPr>
              <w:rFonts w:ascii="Cambria Math" w:hAnsi="Cambria Math"/>
              <w:sz w:val="20"/>
              <w:szCs w:val="20"/>
            </w:rPr>
            <m:t>coefficient</m:t>
          </m:r>
          <m:r>
            <m:rPr>
              <m:sty m:val="p"/>
            </m:rPr>
            <w:rPr>
              <w:rFonts w:ascii="Cambria Math" w:hAnsi="Cambria Math"/>
              <w:sz w:val="20"/>
              <w:szCs w:val="20"/>
            </w:rPr>
            <m:t xml:space="preserve"> </m:t>
          </m:r>
          <m:r>
            <w:rPr>
              <w:rFonts w:ascii="Cambria Math" w:hAnsi="Cambria Math"/>
              <w:sz w:val="20"/>
              <w:szCs w:val="20"/>
            </w:rPr>
            <m:t>of</m:t>
          </m:r>
          <m:r>
            <m:rPr>
              <m:sty m:val="p"/>
            </m:rPr>
            <w:rPr>
              <w:rFonts w:ascii="Cambria Math" w:hAnsi="Cambria Math"/>
              <w:sz w:val="20"/>
              <w:szCs w:val="20"/>
            </w:rPr>
            <m:t xml:space="preserve"> </m:t>
          </m:r>
          <m:r>
            <w:rPr>
              <w:rFonts w:ascii="Cambria Math" w:hAnsi="Cambria Math"/>
              <w:sz w:val="20"/>
              <w:szCs w:val="20"/>
            </w:rPr>
            <m:t>percent</m:t>
          </m:r>
          <m:r>
            <m:rPr>
              <m:sty m:val="p"/>
            </m:rPr>
            <w:rPr>
              <w:rFonts w:ascii="Cambria Math" w:hAnsi="Cambria Math"/>
              <w:sz w:val="20"/>
              <w:szCs w:val="20"/>
            </w:rPr>
            <m:t xml:space="preserve"> </m:t>
          </m:r>
          <m:r>
            <w:rPr>
              <w:rFonts w:ascii="Cambria Math" w:hAnsi="Cambria Math"/>
              <w:sz w:val="20"/>
              <w:szCs w:val="20"/>
            </w:rPr>
            <m:t>bias</m:t>
          </m:r>
          <m:r>
            <m:rPr>
              <m:sty m:val="p"/>
            </m:rPr>
            <w:rPr>
              <w:rFonts w:ascii="Cambria Math" w:hAnsi="Cambria Math"/>
              <w:sz w:val="20"/>
              <w:szCs w:val="20"/>
            </w:rPr>
            <m:t xml:space="preserve"> between observed data and the best  simulation </m:t>
          </m:r>
        </m:oMath>
      </m:oMathPara>
    </w:p>
    <w:p w14:paraId="71F9DFF1" w14:textId="77777777" w:rsidR="00415C56" w:rsidRPr="00415C56" w:rsidRDefault="00415C56" w:rsidP="00415C56">
      <w:pPr>
        <w:spacing w:line="360" w:lineRule="auto"/>
        <w:rPr>
          <w:sz w:val="20"/>
          <w:szCs w:val="20"/>
        </w:rPr>
      </w:pPr>
      <m:oMathPara>
        <m:oMathParaPr>
          <m:jc m:val="left"/>
        </m:oMathParaPr>
        <m:oMath>
          <m:r>
            <w:rPr>
              <w:rFonts w:ascii="Cambria Math" w:hAnsi="Cambria Math"/>
              <w:sz w:val="20"/>
              <w:szCs w:val="20"/>
            </w:rPr>
            <m:t xml:space="preserve">NSE is a normalised dimentionless statistic that implement the comparative size of </m:t>
          </m:r>
        </m:oMath>
      </m:oMathPara>
    </w:p>
    <w:p w14:paraId="6CC52052" w14:textId="5CAC3952" w:rsidR="00415C56" w:rsidRPr="00415C56" w:rsidRDefault="00415C56" w:rsidP="00415C56">
      <w:pPr>
        <w:pStyle w:val="ListParagraph"/>
        <w:ind w:left="0" w:firstLine="0"/>
        <w:rPr>
          <w:sz w:val="20"/>
          <w:szCs w:val="20"/>
        </w:rPr>
      </w:pPr>
      <m:oMathPara>
        <m:oMathParaPr>
          <m:jc m:val="left"/>
        </m:oMathParaPr>
        <m:oMath>
          <m:r>
            <w:rPr>
              <w:rFonts w:ascii="Cambria Math" w:hAnsi="Cambria Math"/>
              <w:sz w:val="20"/>
              <w:szCs w:val="20"/>
            </w:rPr>
            <m:t xml:space="preserve">   the  distinct compared to the measured variance</m:t>
          </m:r>
        </m:oMath>
      </m:oMathPara>
    </w:p>
    <w:p w14:paraId="09E937B4" w14:textId="7DC88E03" w:rsidR="00BB4197" w:rsidRDefault="00B86247" w:rsidP="00415C56">
      <w:pPr>
        <w:spacing w:line="360" w:lineRule="auto"/>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 xml:space="preserve"> is the simulated flow discharge at time i</m:t>
        </m:r>
      </m:oMath>
      <w:r w:rsidR="00972D15">
        <w:rPr>
          <w:rFonts w:ascii="Times New Roman" w:hAnsi="Times New Roman"/>
          <w:sz w:val="20"/>
          <w:szCs w:val="20"/>
        </w:rPr>
        <w:t xml:space="preserve"> </w:t>
      </w:r>
    </w:p>
    <w:p w14:paraId="2CD1DA4F" w14:textId="4F50666B" w:rsidR="00415C56" w:rsidRDefault="00415C56" w:rsidP="00415C56">
      <w:pPr>
        <w:spacing w:line="360" w:lineRule="auto"/>
        <w:jc w:val="both"/>
        <w:rPr>
          <w:rFonts w:ascii="Times New Roman" w:hAnsi="Times New Roman"/>
          <w:sz w:val="20"/>
          <w:szCs w:val="20"/>
        </w:rPr>
      </w:pPr>
      <m:oMath>
        <m:r>
          <w:rPr>
            <w:rFonts w:ascii="Cambria Math" w:hAnsi="Cambria Math"/>
            <w:sz w:val="20"/>
            <w:szCs w:val="20"/>
          </w:rPr>
          <m:t xml:space="preserve">P is the average simulated flow discharge </m:t>
        </m:r>
      </m:oMath>
      <w:r>
        <w:rPr>
          <w:rFonts w:ascii="Times New Roman" w:hAnsi="Times New Roman"/>
          <w:sz w:val="20"/>
          <w:szCs w:val="20"/>
        </w:rPr>
        <w:t xml:space="preserve"> </w:t>
      </w:r>
    </w:p>
    <w:p w14:paraId="6AF94712" w14:textId="2E9CAA8D" w:rsidR="00415C56" w:rsidRDefault="00415C56" w:rsidP="00415C56">
      <w:pPr>
        <w:spacing w:line="360" w:lineRule="auto"/>
        <w:jc w:val="both"/>
        <w:rPr>
          <w:rFonts w:ascii="Times New Roman" w:hAnsi="Times New Roman"/>
          <w:sz w:val="20"/>
          <w:szCs w:val="20"/>
        </w:rPr>
      </w:pPr>
      <m:oMath>
        <m:r>
          <w:rPr>
            <w:rFonts w:ascii="Cambria Math" w:hAnsi="Cambria Math"/>
            <w:sz w:val="20"/>
            <w:szCs w:val="20"/>
          </w:rPr>
          <m:t xml:space="preserve">n  is the number of registered flow discharge data </m:t>
        </m:r>
      </m:oMath>
      <w:r>
        <w:rPr>
          <w:rFonts w:ascii="Times New Roman" w:hAnsi="Times New Roman"/>
          <w:sz w:val="20"/>
          <w:szCs w:val="20"/>
        </w:rPr>
        <w:t xml:space="preserve"> </w:t>
      </w:r>
    </w:p>
    <w:p w14:paraId="4DD2CCC0" w14:textId="77777777" w:rsidR="00972D15" w:rsidRPr="00BB4197" w:rsidRDefault="00B86247" w:rsidP="00972D1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O</m:t>
              </m:r>
            </m:e>
            <m:sub>
              <m:r>
                <w:rPr>
                  <w:rFonts w:ascii="Cambria Math" w:hAnsi="Cambria Math"/>
                  <w:sz w:val="20"/>
                  <w:szCs w:val="20"/>
                </w:rPr>
                <m:t>i</m:t>
              </m:r>
            </m:sub>
          </m:sSub>
          <m:r>
            <w:rPr>
              <w:rFonts w:ascii="Cambria Math" w:hAnsi="Cambria Math"/>
              <w:sz w:val="20"/>
              <w:szCs w:val="20"/>
            </w:rPr>
            <m:t>=is the observed flow discharge at time i</m:t>
          </m:r>
        </m:oMath>
      </m:oMathPara>
    </w:p>
    <w:p w14:paraId="2B05C64E" w14:textId="5961E3B7" w:rsidR="00972D15" w:rsidRPr="00B227D2" w:rsidRDefault="00B86247" w:rsidP="00972D15">
      <w:pPr>
        <w:rPr>
          <w:rFonts w:eastAsiaTheme="minorEastAsia"/>
          <w:sz w:val="20"/>
          <w:szCs w:val="20"/>
        </w:rPr>
      </w:pPr>
      <m:oMathPara>
        <m:oMathParaPr>
          <m:jc m:val="left"/>
        </m:oMathParaPr>
        <m:oMath>
          <m:acc>
            <m:accPr>
              <m:chr m:val="̅"/>
              <m:ctrlPr>
                <w:rPr>
                  <w:rFonts w:ascii="Cambria Math" w:hAnsi="Cambria Math"/>
                  <w:sz w:val="20"/>
                  <w:szCs w:val="20"/>
                </w:rPr>
              </m:ctrlPr>
            </m:accPr>
            <m:e>
              <m:r>
                <w:rPr>
                  <w:rFonts w:ascii="Cambria Math" w:hAnsi="Cambria Math"/>
                  <w:sz w:val="20"/>
                  <w:szCs w:val="20"/>
                </w:rPr>
                <m:t>O</m:t>
              </m:r>
            </m:e>
          </m:acc>
          <m:r>
            <w:rPr>
              <w:rFonts w:ascii="Cambria Math" w:hAnsi="Cambria Math"/>
              <w:sz w:val="20"/>
              <w:szCs w:val="20"/>
            </w:rPr>
            <m:t>=is the average observed flow discharge</m:t>
          </m:r>
        </m:oMath>
      </m:oMathPara>
    </w:p>
    <w:p w14:paraId="1B69BCF3" w14:textId="77777777" w:rsidR="00B227D2" w:rsidRPr="005F6B6E" w:rsidRDefault="00B227D2" w:rsidP="00972D15">
      <w:pPr>
        <w:rPr>
          <w:rFonts w:eastAsiaTheme="minorEastAsia"/>
          <w:sz w:val="20"/>
          <w:szCs w:val="20"/>
        </w:rPr>
      </w:pPr>
    </w:p>
    <w:p w14:paraId="186F575A" w14:textId="0229CE7F" w:rsidR="00A62D1C" w:rsidRDefault="00AD02EC" w:rsidP="00A62D1C">
      <w:pPr>
        <w:spacing w:line="480" w:lineRule="auto"/>
        <w:rPr>
          <w:rFonts w:ascii="Times New Roman" w:hAnsi="Times New Roman"/>
          <w:b/>
          <w:bCs/>
          <w:sz w:val="20"/>
          <w:szCs w:val="20"/>
        </w:rPr>
      </w:pPr>
      <w:r w:rsidRPr="00AD02EC">
        <w:rPr>
          <w:rFonts w:ascii="Times New Roman" w:hAnsi="Times New Roman"/>
          <w:b/>
          <w:bCs/>
          <w:sz w:val="20"/>
          <w:szCs w:val="20"/>
        </w:rPr>
        <w:t>4.</w:t>
      </w:r>
      <w:r w:rsidRPr="00AD02EC">
        <w:rPr>
          <w:rFonts w:ascii="Times New Roman" w:hAnsi="Times New Roman"/>
          <w:b/>
          <w:bCs/>
          <w:sz w:val="20"/>
          <w:szCs w:val="20"/>
        </w:rPr>
        <w:tab/>
      </w:r>
      <w:r w:rsidR="00A62D1C">
        <w:rPr>
          <w:rFonts w:ascii="Times New Roman" w:hAnsi="Times New Roman"/>
          <w:b/>
          <w:bCs/>
          <w:sz w:val="20"/>
          <w:szCs w:val="20"/>
        </w:rPr>
        <w:t xml:space="preserve">Results from the </w:t>
      </w:r>
      <w:r w:rsidR="00A753B2">
        <w:rPr>
          <w:rFonts w:ascii="Times New Roman" w:hAnsi="Times New Roman"/>
          <w:b/>
          <w:bCs/>
          <w:sz w:val="20"/>
          <w:szCs w:val="20"/>
        </w:rPr>
        <w:t>watershed delineatio</w:t>
      </w:r>
    </w:p>
    <w:p w14:paraId="0D2D1127" w14:textId="719D3C3F" w:rsidR="00A62D1C" w:rsidRPr="00A62D1C" w:rsidRDefault="003B38DD" w:rsidP="006236FA">
      <w:pPr>
        <w:spacing w:line="480" w:lineRule="auto"/>
        <w:jc w:val="both"/>
        <w:rPr>
          <w:rFonts w:ascii="Times New Roman" w:hAnsi="Times New Roman" w:cs="Times New Roman"/>
          <w:b/>
          <w:sz w:val="20"/>
          <w:szCs w:val="20"/>
        </w:rPr>
      </w:pPr>
      <w:r w:rsidRPr="000B1517">
        <w:rPr>
          <w:rFonts w:ascii="Times New Roman" w:hAnsi="Times New Roman" w:cs="Times New Roman"/>
          <w:sz w:val="20"/>
          <w:szCs w:val="20"/>
        </w:rPr>
        <w:t>The discretization of the sub-catchment was limited to 1360.241 km</w:t>
      </w:r>
      <w:r w:rsidRPr="000B1517">
        <w:rPr>
          <w:rFonts w:ascii="Times New Roman" w:hAnsi="Times New Roman" w:cs="Times New Roman"/>
          <w:sz w:val="20"/>
          <w:szCs w:val="20"/>
          <w:vertAlign w:val="superscript"/>
        </w:rPr>
        <w:t>2</w:t>
      </w:r>
      <w:r w:rsidRPr="000B1517">
        <w:rPr>
          <w:rFonts w:ascii="Times New Roman" w:hAnsi="Times New Roman" w:cs="Times New Roman"/>
          <w:sz w:val="20"/>
          <w:szCs w:val="20"/>
        </w:rPr>
        <w:t xml:space="preserve"> and the results were 116 HRUs and 18 sub-basins. During the 13-year calibration period (2006–2013), the first two years (2006 – 2008) were used as warm-up period for the SWAT model.</w:t>
      </w:r>
      <w:r>
        <w:rPr>
          <w:rFonts w:ascii="Times New Roman" w:hAnsi="Times New Roman" w:cs="Times New Roman"/>
          <w:sz w:val="20"/>
          <w:szCs w:val="20"/>
        </w:rPr>
        <w:t xml:space="preserve">  </w:t>
      </w:r>
      <w:r w:rsidR="00A62D1C" w:rsidRPr="00A62D1C">
        <w:rPr>
          <w:rFonts w:ascii="Times New Roman" w:hAnsi="Times New Roman" w:cs="Times New Roman"/>
          <w:sz w:val="20"/>
          <w:szCs w:val="20"/>
        </w:rPr>
        <w:t xml:space="preserve">The results included the hydrolical characteristics of the sub-catchment, water balance, calibrate and validate the SWAT model. Following analysis, results </w:t>
      </w:r>
      <w:r w:rsidR="00A62D1C">
        <w:rPr>
          <w:rFonts w:ascii="Times New Roman" w:hAnsi="Times New Roman" w:cs="Times New Roman"/>
          <w:sz w:val="20"/>
          <w:szCs w:val="20"/>
        </w:rPr>
        <w:t xml:space="preserve">were </w:t>
      </w:r>
      <w:r w:rsidR="00A62D1C" w:rsidRPr="00A62D1C">
        <w:rPr>
          <w:rFonts w:ascii="Times New Roman" w:hAnsi="Times New Roman" w:cs="Times New Roman"/>
          <w:sz w:val="20"/>
          <w:szCs w:val="20"/>
        </w:rPr>
        <w:t>shown as tables, percentages, and graphs.</w:t>
      </w:r>
      <w:r w:rsidR="00A753B2">
        <w:rPr>
          <w:rFonts w:ascii="Times New Roman" w:hAnsi="Times New Roman" w:cs="Times New Roman"/>
          <w:sz w:val="20"/>
          <w:szCs w:val="20"/>
        </w:rPr>
        <w:t xml:space="preserve"> The results are described below.</w:t>
      </w:r>
    </w:p>
    <w:p w14:paraId="4B442AC4" w14:textId="2555CFAF" w:rsidR="0031043E" w:rsidRPr="00116D4C" w:rsidRDefault="00A33946" w:rsidP="0031043E">
      <w:pPr>
        <w:rPr>
          <w:rFonts w:ascii="Times New Roman" w:hAnsi="Times New Roman" w:cs="Times New Roman"/>
          <w:b/>
          <w:bCs/>
          <w:sz w:val="20"/>
          <w:szCs w:val="20"/>
          <w:lang w:val="en-GB"/>
        </w:rPr>
      </w:pPr>
      <w:r w:rsidRPr="00116D4C">
        <w:rPr>
          <w:rFonts w:ascii="Times New Roman" w:hAnsi="Times New Roman" w:cs="Times New Roman"/>
          <w:b/>
          <w:bCs/>
          <w:sz w:val="20"/>
          <w:szCs w:val="20"/>
          <w:lang w:val="en-GB"/>
        </w:rPr>
        <w:t>4.2</w:t>
      </w:r>
      <w:r w:rsidRPr="00116D4C">
        <w:rPr>
          <w:rFonts w:ascii="Times New Roman" w:hAnsi="Times New Roman" w:cs="Times New Roman"/>
          <w:b/>
          <w:bCs/>
          <w:sz w:val="20"/>
          <w:szCs w:val="20"/>
          <w:lang w:val="en-GB"/>
        </w:rPr>
        <w:tab/>
        <w:t>Hydrologic characteristics of the Ndarugu – Thiririka sub-catchment</w:t>
      </w:r>
    </w:p>
    <w:p w14:paraId="17C02DE1" w14:textId="77777777" w:rsidR="00A33946" w:rsidRPr="00770D39" w:rsidRDefault="00A33946" w:rsidP="00A33946">
      <w:pPr>
        <w:spacing w:after="0"/>
        <w:rPr>
          <w:rFonts w:eastAsia="Times New Roman"/>
          <w:sz w:val="16"/>
          <w:szCs w:val="16"/>
        </w:rPr>
      </w:pPr>
      <w:bookmarkStart w:id="2" w:name="_Toc145217716"/>
    </w:p>
    <w:p w14:paraId="0951530C" w14:textId="54F8DE81" w:rsidR="006236FA" w:rsidRDefault="0031043E" w:rsidP="006236FA">
      <w:pPr>
        <w:spacing w:line="480" w:lineRule="auto"/>
        <w:jc w:val="both"/>
        <w:rPr>
          <w:rFonts w:ascii="Times New Roman" w:hAnsi="Times New Roman" w:cs="Times New Roman"/>
          <w:sz w:val="20"/>
          <w:szCs w:val="20"/>
        </w:rPr>
      </w:pPr>
      <w:r w:rsidRPr="0031043E">
        <w:rPr>
          <w:rFonts w:ascii="Times New Roman" w:hAnsi="Times New Roman" w:cs="Times New Roman"/>
          <w:sz w:val="20"/>
          <w:szCs w:val="20"/>
        </w:rPr>
        <w:t>The SWAT model generated eighteen sub-basins and one hundred and sixteen Hydrologic Response Units (HRUs)</w:t>
      </w:r>
      <w:r w:rsidR="00A33946">
        <w:rPr>
          <w:rFonts w:ascii="Times New Roman" w:hAnsi="Times New Roman" w:cs="Times New Roman"/>
          <w:sz w:val="20"/>
          <w:szCs w:val="20"/>
        </w:rPr>
        <w:t xml:space="preserve">. </w:t>
      </w:r>
      <w:r w:rsidRPr="0031043E">
        <w:rPr>
          <w:rFonts w:ascii="Times New Roman" w:hAnsi="Times New Roman" w:cs="Times New Roman"/>
          <w:sz w:val="20"/>
          <w:szCs w:val="20"/>
        </w:rPr>
        <w:t xml:space="preserve"> </w:t>
      </w:r>
      <w:bookmarkEnd w:id="2"/>
      <w:r w:rsidRPr="0031043E">
        <w:rPr>
          <w:rFonts w:ascii="Times New Roman" w:hAnsi="Times New Roman" w:cs="Times New Roman"/>
          <w:sz w:val="20"/>
          <w:szCs w:val="20"/>
        </w:rPr>
        <w:t>It modified the sub-catchment's hydrological components, slope, land use, and soil in the analysis.</w:t>
      </w:r>
      <w:bookmarkStart w:id="3" w:name="_Toc145217717"/>
      <w:r w:rsidRPr="00341390">
        <w:rPr>
          <w:rFonts w:ascii="Times New Roman" w:hAnsi="Times New Roman" w:cs="Times New Roman"/>
          <w:sz w:val="20"/>
          <w:szCs w:val="20"/>
        </w:rPr>
        <w:t xml:space="preserve"> In the sub-catchments, loam predominated (60.39%), followed by sandy loam (5.88%), clay loam (19.18%) and clay (14.4%). The land use and land cover types were dense forest (22.15%), dense agriculture (46.26%), sparse agriculture (0.43%), plantations (39.43%), and built-up area (39.43%)</w:t>
      </w:r>
      <w:r w:rsidR="00415C56">
        <w:rPr>
          <w:rFonts w:ascii="Times New Roman" w:hAnsi="Times New Roman" w:cs="Times New Roman"/>
          <w:sz w:val="20"/>
          <w:szCs w:val="20"/>
        </w:rPr>
        <w:t xml:space="preserve"> in Table 1</w:t>
      </w:r>
      <w:r w:rsidRPr="00341390">
        <w:rPr>
          <w:rFonts w:ascii="Times New Roman" w:hAnsi="Times New Roman" w:cs="Times New Roman"/>
          <w:sz w:val="20"/>
          <w:szCs w:val="20"/>
        </w:rPr>
        <w:t>.</w:t>
      </w:r>
      <w:bookmarkEnd w:id="3"/>
    </w:p>
    <w:p w14:paraId="78B1BF80" w14:textId="09BCBF21" w:rsidR="006236FA" w:rsidRPr="00415C56" w:rsidRDefault="00415C56" w:rsidP="006236FA">
      <w:pPr>
        <w:spacing w:line="480" w:lineRule="auto"/>
        <w:jc w:val="both"/>
        <w:rPr>
          <w:rFonts w:ascii="Times New Roman" w:hAnsi="Times New Roman" w:cs="Times New Roman"/>
          <w:b/>
          <w:bCs/>
          <w:noProof/>
          <w:sz w:val="20"/>
          <w:szCs w:val="20"/>
        </w:rPr>
      </w:pPr>
      <w:r w:rsidRPr="00415C56">
        <w:rPr>
          <w:rFonts w:ascii="Times New Roman" w:hAnsi="Times New Roman" w:cs="Times New Roman"/>
          <w:b/>
          <w:bCs/>
          <w:noProof/>
          <w:sz w:val="20"/>
          <w:szCs w:val="20"/>
        </w:rPr>
        <w:t xml:space="preserve">       </w:t>
      </w:r>
      <w:r w:rsidR="006236FA" w:rsidRPr="00415C56">
        <w:rPr>
          <w:rFonts w:ascii="Times New Roman" w:hAnsi="Times New Roman" w:cs="Times New Roman"/>
          <w:b/>
          <w:bCs/>
          <w:noProof/>
          <w:sz w:val="20"/>
          <w:szCs w:val="20"/>
        </w:rPr>
        <w:t xml:space="preserve">Table </w:t>
      </w:r>
      <w:r w:rsidRPr="00415C56">
        <w:rPr>
          <w:rFonts w:ascii="Times New Roman" w:hAnsi="Times New Roman" w:cs="Times New Roman"/>
          <w:b/>
          <w:bCs/>
          <w:noProof/>
          <w:sz w:val="20"/>
          <w:szCs w:val="20"/>
        </w:rPr>
        <w:t>1</w:t>
      </w:r>
      <w:r w:rsidR="006236FA" w:rsidRPr="00415C56">
        <w:rPr>
          <w:rFonts w:ascii="Times New Roman" w:hAnsi="Times New Roman" w:cs="Times New Roman"/>
          <w:b/>
          <w:bCs/>
          <w:noProof/>
          <w:sz w:val="20"/>
          <w:szCs w:val="20"/>
        </w:rPr>
        <w:t>.  Simulation results</w:t>
      </w:r>
    </w:p>
    <w:p w14:paraId="2A121D94" w14:textId="289C4E63" w:rsidR="0031043E" w:rsidRDefault="006236FA" w:rsidP="00A33946">
      <w:pPr>
        <w:spacing w:line="360" w:lineRule="auto"/>
        <w:jc w:val="both"/>
        <w:rPr>
          <w:rFonts w:ascii="Times New Roman" w:hAnsi="Times New Roman" w:cs="Times New Roman"/>
          <w:sz w:val="20"/>
          <w:szCs w:val="20"/>
        </w:rPr>
      </w:pPr>
      <w:r w:rsidRPr="002D770B">
        <w:rPr>
          <w:noProof/>
          <w:szCs w:val="24"/>
        </w:rPr>
        <w:drawing>
          <wp:inline distT="0" distB="0" distL="0" distR="0" wp14:anchorId="486338CF" wp14:editId="05C89EA0">
            <wp:extent cx="6220800" cy="1555200"/>
            <wp:effectExtent l="0" t="0" r="889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398" t="36468" r="20397" b="36718"/>
                    <a:stretch/>
                  </pic:blipFill>
                  <pic:spPr bwMode="auto">
                    <a:xfrm>
                      <a:off x="0" y="0"/>
                      <a:ext cx="6220800" cy="1555200"/>
                    </a:xfrm>
                    <a:prstGeom prst="rect">
                      <a:avLst/>
                    </a:prstGeom>
                    <a:ln>
                      <a:noFill/>
                    </a:ln>
                    <a:extLst>
                      <a:ext uri="{53640926-AAD7-44D8-BBD7-CCE9431645EC}">
                        <a14:shadowObscured xmlns:a14="http://schemas.microsoft.com/office/drawing/2010/main"/>
                      </a:ext>
                    </a:extLst>
                  </pic:spPr>
                </pic:pic>
              </a:graphicData>
            </a:graphic>
          </wp:inline>
        </w:drawing>
      </w:r>
    </w:p>
    <w:p w14:paraId="3E03438B" w14:textId="62F828F5" w:rsidR="00990F42" w:rsidRPr="00415C56" w:rsidRDefault="00A33946" w:rsidP="00415C56">
      <w:pPr>
        <w:spacing w:line="480" w:lineRule="auto"/>
        <w:jc w:val="both"/>
        <w:rPr>
          <w:rFonts w:ascii="Times New Roman" w:hAnsi="Times New Roman" w:cs="Times New Roman"/>
          <w:b/>
          <w:bCs/>
          <w:sz w:val="20"/>
          <w:szCs w:val="20"/>
        </w:rPr>
      </w:pPr>
      <w:r w:rsidRPr="00415C56">
        <w:rPr>
          <w:rFonts w:ascii="Times New Roman" w:hAnsi="Times New Roman" w:cs="Times New Roman"/>
          <w:b/>
          <w:bCs/>
          <w:noProof/>
          <w:sz w:val="18"/>
          <w:szCs w:val="18"/>
        </w:rPr>
        <w:t xml:space="preserve">   </w:t>
      </w:r>
      <w:r w:rsidR="00990F42" w:rsidRPr="00415C56">
        <w:rPr>
          <w:rFonts w:ascii="Times New Roman" w:hAnsi="Times New Roman" w:cs="Times New Roman"/>
          <w:b/>
          <w:bCs/>
          <w:sz w:val="20"/>
          <w:szCs w:val="20"/>
        </w:rPr>
        <w:t>4.3</w:t>
      </w:r>
      <w:r w:rsidR="00990F42" w:rsidRPr="00415C56">
        <w:rPr>
          <w:rFonts w:ascii="Times New Roman" w:hAnsi="Times New Roman" w:cs="Times New Roman"/>
          <w:b/>
          <w:bCs/>
          <w:sz w:val="20"/>
          <w:szCs w:val="20"/>
        </w:rPr>
        <w:tab/>
      </w:r>
      <w:bookmarkStart w:id="4" w:name="_Toc44543757"/>
      <w:bookmarkStart w:id="5" w:name="_Toc82975378"/>
      <w:bookmarkStart w:id="6" w:name="_Toc94628340"/>
      <w:bookmarkStart w:id="7" w:name="_Toc146074852"/>
      <w:bookmarkStart w:id="8" w:name="_Toc173938128"/>
      <w:r w:rsidR="00990F42" w:rsidRPr="00415C56">
        <w:rPr>
          <w:rFonts w:ascii="Times New Roman" w:hAnsi="Times New Roman" w:cs="Times New Roman"/>
          <w:b/>
          <w:bCs/>
          <w:sz w:val="20"/>
          <w:szCs w:val="20"/>
        </w:rPr>
        <w:t>Water balance results for sub-catchments</w:t>
      </w:r>
      <w:bookmarkEnd w:id="4"/>
      <w:bookmarkEnd w:id="5"/>
      <w:bookmarkEnd w:id="6"/>
      <w:bookmarkEnd w:id="7"/>
      <w:bookmarkEnd w:id="8"/>
    </w:p>
    <w:p w14:paraId="494003EA" w14:textId="77777777" w:rsidR="00027DE0" w:rsidRPr="00B227D2" w:rsidRDefault="00027DE0" w:rsidP="00027DE0">
      <w:pPr>
        <w:autoSpaceDE w:val="0"/>
        <w:autoSpaceDN w:val="0"/>
        <w:adjustRightInd w:val="0"/>
        <w:spacing w:after="0"/>
        <w:rPr>
          <w:sz w:val="10"/>
          <w:szCs w:val="10"/>
        </w:rPr>
      </w:pPr>
    </w:p>
    <w:p w14:paraId="3DBF2585" w14:textId="107E2B50" w:rsidR="00116D4C" w:rsidRDefault="00027DE0" w:rsidP="00116D4C">
      <w:pPr>
        <w:spacing w:after="0" w:line="360" w:lineRule="auto"/>
        <w:jc w:val="both"/>
        <w:rPr>
          <w:rFonts w:ascii="Times New Roman" w:hAnsi="Times New Roman" w:cs="Times New Roman"/>
          <w:sz w:val="20"/>
          <w:szCs w:val="20"/>
        </w:rPr>
      </w:pPr>
      <w:r w:rsidRPr="00027DE0">
        <w:rPr>
          <w:rFonts w:ascii="Times New Roman" w:eastAsia="Times New Roman" w:hAnsi="Times New Roman" w:cs="Times New Roman"/>
          <w:sz w:val="20"/>
          <w:szCs w:val="20"/>
        </w:rPr>
        <w:t xml:space="preserve">The research found that the sub-catchment area's topography between 1425 to 2650 mm above sea level. The The high altitude in the </w:t>
      </w:r>
      <w:r w:rsidR="00415C56">
        <w:rPr>
          <w:rFonts w:ascii="Times New Roman" w:eastAsia="Times New Roman" w:hAnsi="Times New Roman" w:cs="Times New Roman"/>
          <w:sz w:val="20"/>
          <w:szCs w:val="20"/>
        </w:rPr>
        <w:t xml:space="preserve">area </w:t>
      </w:r>
      <w:r w:rsidRPr="00027DE0">
        <w:rPr>
          <w:rFonts w:ascii="Times New Roman" w:eastAsia="Times New Roman" w:hAnsi="Times New Roman" w:cs="Times New Roman"/>
          <w:sz w:val="20"/>
          <w:szCs w:val="20"/>
        </w:rPr>
        <w:t xml:space="preserve">suggested that the sub-catchment area had potential of runoff. In the analysis, the SWAT model generated nine parameters of the water balance, as shown in Table </w:t>
      </w:r>
      <w:r w:rsidR="00415C56">
        <w:rPr>
          <w:rFonts w:ascii="Times New Roman" w:eastAsia="Times New Roman" w:hAnsi="Times New Roman" w:cs="Times New Roman"/>
          <w:sz w:val="20"/>
          <w:szCs w:val="20"/>
        </w:rPr>
        <w:t>2</w:t>
      </w:r>
      <w:r w:rsidRPr="00027DE0">
        <w:rPr>
          <w:rFonts w:ascii="Times New Roman" w:eastAsia="Times New Roman" w:hAnsi="Times New Roman" w:cs="Times New Roman"/>
          <w:sz w:val="20"/>
          <w:szCs w:val="20"/>
        </w:rPr>
        <w:t xml:space="preserve">. Even so, in determining the water balance, </w:t>
      </w:r>
      <w:r w:rsidR="00B227D2">
        <w:rPr>
          <w:rFonts w:ascii="Times New Roman" w:eastAsia="Times New Roman" w:hAnsi="Times New Roman" w:cs="Times New Roman"/>
          <w:sz w:val="20"/>
          <w:szCs w:val="20"/>
        </w:rPr>
        <w:t xml:space="preserve">only </w:t>
      </w:r>
      <w:r w:rsidRPr="00027DE0">
        <w:rPr>
          <w:rFonts w:ascii="Times New Roman" w:eastAsia="Times New Roman" w:hAnsi="Times New Roman" w:cs="Times New Roman"/>
          <w:sz w:val="20"/>
          <w:szCs w:val="20"/>
        </w:rPr>
        <w:t xml:space="preserve">was only four parameters that were needed </w:t>
      </w:r>
      <w:r w:rsidR="006F0E16">
        <w:rPr>
          <w:rFonts w:ascii="Times New Roman" w:eastAsia="Times New Roman" w:hAnsi="Times New Roman" w:cs="Times New Roman"/>
          <w:sz w:val="20"/>
          <w:szCs w:val="20"/>
        </w:rPr>
        <w:t xml:space="preserve">namely the </w:t>
      </w:r>
      <w:r w:rsidRPr="00027DE0">
        <w:rPr>
          <w:rFonts w:ascii="Times New Roman" w:eastAsia="Times New Roman" w:hAnsi="Times New Roman" w:cs="Times New Roman"/>
          <w:sz w:val="20"/>
          <w:szCs w:val="20"/>
        </w:rPr>
        <w:t>lateral (LAT Q), groundwater (GW Q), evapotranspiration (ET) and surface runoff (SUR Q).</w:t>
      </w:r>
      <w:r w:rsidR="00116D4C">
        <w:rPr>
          <w:rFonts w:ascii="Times New Roman" w:eastAsia="Times New Roman" w:hAnsi="Times New Roman" w:cs="Times New Roman"/>
          <w:sz w:val="20"/>
          <w:szCs w:val="20"/>
        </w:rPr>
        <w:t xml:space="preserve"> </w:t>
      </w:r>
      <w:r w:rsidR="00116D4C" w:rsidRPr="00116D4C">
        <w:rPr>
          <w:rFonts w:ascii="Times New Roman" w:hAnsi="Times New Roman" w:cs="Times New Roman"/>
          <w:sz w:val="20"/>
          <w:szCs w:val="20"/>
        </w:rPr>
        <w:t xml:space="preserve">The entire water balance was over 75% of evapotranspiration rates, or 571.06 mm, according to the research findings (Table </w:t>
      </w:r>
      <w:r w:rsidR="00415C56">
        <w:rPr>
          <w:rFonts w:ascii="Times New Roman" w:hAnsi="Times New Roman" w:cs="Times New Roman"/>
          <w:sz w:val="20"/>
          <w:szCs w:val="20"/>
        </w:rPr>
        <w:t>2</w:t>
      </w:r>
      <w:r w:rsidR="00116D4C" w:rsidRPr="00116D4C">
        <w:rPr>
          <w:rFonts w:ascii="Times New Roman" w:hAnsi="Times New Roman" w:cs="Times New Roman"/>
          <w:sz w:val="20"/>
          <w:szCs w:val="20"/>
        </w:rPr>
        <w:t xml:space="preserve">). </w:t>
      </w:r>
    </w:p>
    <w:p w14:paraId="6EEFA7CC" w14:textId="77777777" w:rsidR="00B227D2" w:rsidRDefault="00B227D2" w:rsidP="00116D4C">
      <w:pPr>
        <w:spacing w:after="0" w:line="360" w:lineRule="auto"/>
        <w:jc w:val="both"/>
        <w:rPr>
          <w:rFonts w:ascii="Times New Roman" w:hAnsi="Times New Roman" w:cs="Times New Roman"/>
          <w:sz w:val="20"/>
          <w:szCs w:val="20"/>
        </w:rPr>
      </w:pPr>
    </w:p>
    <w:p w14:paraId="2EA5B04D" w14:textId="42027F08" w:rsidR="00116D4C" w:rsidRPr="00116D4C" w:rsidRDefault="00116D4C" w:rsidP="00116D4C">
      <w:pPr>
        <w:spacing w:after="0" w:line="360" w:lineRule="auto"/>
        <w:jc w:val="both"/>
        <w:rPr>
          <w:rFonts w:ascii="Times New Roman" w:hAnsi="Times New Roman" w:cs="Times New Roman"/>
          <w:sz w:val="20"/>
          <w:szCs w:val="20"/>
        </w:rPr>
      </w:pPr>
      <w:r w:rsidRPr="00116D4C">
        <w:rPr>
          <w:rFonts w:ascii="Times New Roman" w:hAnsi="Times New Roman" w:cs="Times New Roman"/>
          <w:sz w:val="20"/>
          <w:szCs w:val="20"/>
        </w:rPr>
        <w:t>11% of the overall water balance, or 82.46 mm, was generated annually by the SWAT model. Following model validation, the model produced a 1.5% lateral flow of the water balance. The months of May and June saw the largest flows, while February and October saw the lowest amounts. The modified LULC in the research area resulted in a significant increase in evapotranspiration.</w:t>
      </w:r>
    </w:p>
    <w:p w14:paraId="5C1B2352" w14:textId="36896EB9" w:rsidR="00990F42" w:rsidRPr="00116D4C" w:rsidRDefault="00990F42" w:rsidP="00116D4C">
      <w:pPr>
        <w:spacing w:line="360" w:lineRule="auto"/>
        <w:jc w:val="both"/>
        <w:rPr>
          <w:rFonts w:ascii="Times New Roman" w:hAnsi="Times New Roman" w:cs="Times New Roman"/>
          <w:sz w:val="6"/>
          <w:szCs w:val="6"/>
        </w:rPr>
      </w:pPr>
    </w:p>
    <w:p w14:paraId="776A941F" w14:textId="549E54E1" w:rsidR="00116D4C" w:rsidRPr="00116D4C" w:rsidRDefault="00116D4C" w:rsidP="00116D4C">
      <w:pPr>
        <w:spacing w:line="360" w:lineRule="auto"/>
        <w:jc w:val="both"/>
        <w:rPr>
          <w:rFonts w:ascii="Times New Roman" w:hAnsi="Times New Roman" w:cs="Times New Roman"/>
          <w:b/>
          <w:bCs/>
          <w:sz w:val="20"/>
          <w:szCs w:val="20"/>
        </w:rPr>
      </w:pPr>
      <w:r w:rsidRPr="00116D4C">
        <w:rPr>
          <w:rFonts w:ascii="Times New Roman" w:hAnsi="Times New Roman" w:cs="Times New Roman"/>
          <w:b/>
          <w:bCs/>
          <w:sz w:val="20"/>
          <w:szCs w:val="20"/>
        </w:rPr>
        <w:t xml:space="preserve">Table </w:t>
      </w:r>
      <w:r w:rsidR="00415C56">
        <w:rPr>
          <w:rFonts w:ascii="Times New Roman" w:hAnsi="Times New Roman" w:cs="Times New Roman"/>
          <w:b/>
          <w:bCs/>
          <w:sz w:val="20"/>
          <w:szCs w:val="20"/>
        </w:rPr>
        <w:t>2</w:t>
      </w:r>
      <w:r w:rsidRPr="00116D4C">
        <w:rPr>
          <w:rFonts w:ascii="Times New Roman" w:hAnsi="Times New Roman" w:cs="Times New Roman"/>
          <w:b/>
          <w:bCs/>
          <w:sz w:val="20"/>
          <w:szCs w:val="20"/>
        </w:rPr>
        <w:t xml:space="preserve">. </w:t>
      </w:r>
      <w:r w:rsidR="00415C56">
        <w:rPr>
          <w:rFonts w:ascii="Times New Roman" w:hAnsi="Times New Roman" w:cs="Times New Roman"/>
          <w:b/>
          <w:bCs/>
          <w:sz w:val="20"/>
          <w:szCs w:val="20"/>
        </w:rPr>
        <w:t xml:space="preserve">The components of the </w:t>
      </w:r>
      <w:r w:rsidRPr="00116D4C">
        <w:rPr>
          <w:rFonts w:ascii="Times New Roman" w:hAnsi="Times New Roman" w:cs="Times New Roman"/>
          <w:b/>
          <w:bCs/>
          <w:sz w:val="20"/>
          <w:szCs w:val="20"/>
        </w:rPr>
        <w:t xml:space="preserve">water balance </w:t>
      </w:r>
    </w:p>
    <w:p w14:paraId="28C9F532" w14:textId="52703AB7" w:rsidR="000E0604" w:rsidRDefault="00116D4C" w:rsidP="00116D4C">
      <w:pPr>
        <w:spacing w:line="360" w:lineRule="auto"/>
        <w:jc w:val="both"/>
        <w:rPr>
          <w:rFonts w:ascii="Times New Roman" w:hAnsi="Times New Roman" w:cs="Times New Roman"/>
          <w:sz w:val="20"/>
          <w:szCs w:val="20"/>
        </w:rPr>
      </w:pPr>
      <w:r w:rsidRPr="002D770B">
        <w:rPr>
          <w:noProof/>
          <w:szCs w:val="24"/>
        </w:rPr>
        <w:drawing>
          <wp:anchor distT="0" distB="0" distL="114300" distR="114300" simplePos="0" relativeHeight="251658240" behindDoc="0" locked="0" layoutInCell="1" allowOverlap="1" wp14:anchorId="57B2119B" wp14:editId="594B1C90">
            <wp:simplePos x="914400" y="2281382"/>
            <wp:positionH relativeFrom="column">
              <wp:align>left</wp:align>
            </wp:positionH>
            <wp:positionV relativeFrom="paragraph">
              <wp:align>top</wp:align>
            </wp:positionV>
            <wp:extent cx="5029200" cy="2816352"/>
            <wp:effectExtent l="0" t="0" r="0" b="317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1651" t="33715" r="41236" b="16199"/>
                    <a:stretch/>
                  </pic:blipFill>
                  <pic:spPr bwMode="auto">
                    <a:xfrm>
                      <a:off x="0" y="0"/>
                      <a:ext cx="5029200" cy="2816352"/>
                    </a:xfrm>
                    <a:prstGeom prst="rect">
                      <a:avLst/>
                    </a:prstGeom>
                    <a:ln>
                      <a:noFill/>
                    </a:ln>
                    <a:extLst>
                      <a:ext uri="{53640926-AAD7-44D8-BBD7-CCE9431645EC}">
                        <a14:shadowObscured xmlns:a14="http://schemas.microsoft.com/office/drawing/2010/main"/>
                      </a:ext>
                    </a:extLst>
                  </pic:spPr>
                </pic:pic>
              </a:graphicData>
            </a:graphic>
          </wp:anchor>
        </w:drawing>
      </w:r>
    </w:p>
    <w:p w14:paraId="5F3E8C33" w14:textId="77777777" w:rsidR="000E0604" w:rsidRPr="000E0604" w:rsidRDefault="000E0604" w:rsidP="000E0604">
      <w:pPr>
        <w:rPr>
          <w:rFonts w:ascii="Times New Roman" w:hAnsi="Times New Roman" w:cs="Times New Roman"/>
          <w:sz w:val="20"/>
          <w:szCs w:val="20"/>
        </w:rPr>
      </w:pPr>
    </w:p>
    <w:p w14:paraId="6AC33FC0" w14:textId="77777777" w:rsidR="000E0604" w:rsidRPr="000E0604" w:rsidRDefault="000E0604" w:rsidP="000E0604">
      <w:pPr>
        <w:rPr>
          <w:rFonts w:ascii="Times New Roman" w:hAnsi="Times New Roman" w:cs="Times New Roman"/>
          <w:sz w:val="20"/>
          <w:szCs w:val="20"/>
        </w:rPr>
      </w:pPr>
    </w:p>
    <w:p w14:paraId="2506FA5A" w14:textId="77777777" w:rsidR="000E0604" w:rsidRPr="000E0604" w:rsidRDefault="000E0604" w:rsidP="000E0604">
      <w:pPr>
        <w:rPr>
          <w:rFonts w:ascii="Times New Roman" w:hAnsi="Times New Roman" w:cs="Times New Roman"/>
          <w:sz w:val="20"/>
          <w:szCs w:val="20"/>
        </w:rPr>
      </w:pPr>
    </w:p>
    <w:p w14:paraId="17894F3A" w14:textId="77777777" w:rsidR="000E0604" w:rsidRPr="000E0604" w:rsidRDefault="000E0604" w:rsidP="000E0604">
      <w:pPr>
        <w:rPr>
          <w:rFonts w:ascii="Times New Roman" w:hAnsi="Times New Roman" w:cs="Times New Roman"/>
          <w:sz w:val="20"/>
          <w:szCs w:val="20"/>
        </w:rPr>
      </w:pPr>
    </w:p>
    <w:p w14:paraId="69F8267F" w14:textId="77777777" w:rsidR="000E0604" w:rsidRPr="000E0604" w:rsidRDefault="000E0604" w:rsidP="000E0604">
      <w:pPr>
        <w:rPr>
          <w:rFonts w:ascii="Times New Roman" w:hAnsi="Times New Roman" w:cs="Times New Roman"/>
          <w:sz w:val="20"/>
          <w:szCs w:val="20"/>
        </w:rPr>
      </w:pPr>
    </w:p>
    <w:p w14:paraId="73CE92F4" w14:textId="77777777" w:rsidR="000E0604" w:rsidRPr="000E0604" w:rsidRDefault="000E0604" w:rsidP="000E0604">
      <w:pPr>
        <w:rPr>
          <w:rFonts w:ascii="Times New Roman" w:hAnsi="Times New Roman" w:cs="Times New Roman"/>
          <w:sz w:val="20"/>
          <w:szCs w:val="20"/>
        </w:rPr>
      </w:pPr>
    </w:p>
    <w:p w14:paraId="2D825A23" w14:textId="77777777" w:rsidR="00A753B2" w:rsidRDefault="00A753B2" w:rsidP="00116D4C">
      <w:pPr>
        <w:spacing w:line="360" w:lineRule="auto"/>
        <w:jc w:val="both"/>
        <w:rPr>
          <w:rFonts w:ascii="Times New Roman" w:hAnsi="Times New Roman" w:cs="Times New Roman"/>
          <w:sz w:val="20"/>
          <w:szCs w:val="20"/>
        </w:rPr>
      </w:pPr>
    </w:p>
    <w:p w14:paraId="3B54FAAF" w14:textId="77777777" w:rsidR="00A753B2" w:rsidRDefault="00A753B2" w:rsidP="00116D4C">
      <w:pPr>
        <w:spacing w:line="360" w:lineRule="auto"/>
        <w:jc w:val="both"/>
        <w:rPr>
          <w:rFonts w:ascii="Times New Roman" w:hAnsi="Times New Roman" w:cs="Times New Roman"/>
          <w:sz w:val="20"/>
          <w:szCs w:val="20"/>
        </w:rPr>
      </w:pPr>
    </w:p>
    <w:p w14:paraId="1DF4DEF9" w14:textId="77777777" w:rsidR="00A753B2" w:rsidRDefault="00A753B2" w:rsidP="00116D4C">
      <w:pPr>
        <w:spacing w:line="360" w:lineRule="auto"/>
        <w:jc w:val="both"/>
        <w:rPr>
          <w:rFonts w:ascii="Times New Roman" w:hAnsi="Times New Roman" w:cs="Times New Roman"/>
          <w:sz w:val="20"/>
          <w:szCs w:val="20"/>
        </w:rPr>
      </w:pPr>
    </w:p>
    <w:p w14:paraId="0F2B648F" w14:textId="77777777" w:rsidR="00B227D2" w:rsidRDefault="00B227D2" w:rsidP="00A753B2">
      <w:pPr>
        <w:spacing w:line="480" w:lineRule="auto"/>
        <w:rPr>
          <w:rFonts w:ascii="Times New Roman" w:hAnsi="Times New Roman"/>
          <w:b/>
          <w:bCs/>
          <w:sz w:val="20"/>
          <w:szCs w:val="20"/>
        </w:rPr>
      </w:pPr>
    </w:p>
    <w:p w14:paraId="0526A686" w14:textId="7B052362" w:rsidR="00A753B2" w:rsidRDefault="00A753B2" w:rsidP="00A753B2">
      <w:pPr>
        <w:spacing w:line="480" w:lineRule="auto"/>
        <w:rPr>
          <w:rFonts w:ascii="Times New Roman" w:hAnsi="Times New Roman"/>
          <w:b/>
          <w:bCs/>
          <w:sz w:val="20"/>
          <w:szCs w:val="20"/>
        </w:rPr>
      </w:pPr>
      <w:r>
        <w:rPr>
          <w:rFonts w:ascii="Times New Roman" w:hAnsi="Times New Roman"/>
          <w:b/>
          <w:bCs/>
          <w:sz w:val="20"/>
          <w:szCs w:val="20"/>
        </w:rPr>
        <w:t>4.</w:t>
      </w:r>
      <w:r w:rsidR="00207E0F">
        <w:rPr>
          <w:rFonts w:ascii="Times New Roman" w:hAnsi="Times New Roman"/>
          <w:b/>
          <w:bCs/>
          <w:sz w:val="20"/>
          <w:szCs w:val="20"/>
        </w:rPr>
        <w:t>4</w:t>
      </w:r>
      <w:r>
        <w:rPr>
          <w:rFonts w:ascii="Times New Roman" w:hAnsi="Times New Roman"/>
          <w:b/>
          <w:bCs/>
          <w:sz w:val="20"/>
          <w:szCs w:val="20"/>
        </w:rPr>
        <w:tab/>
        <w:t>The Performance of the SWAT model</w:t>
      </w:r>
    </w:p>
    <w:p w14:paraId="36CF11CF" w14:textId="2B6A8D54" w:rsidR="00A753B2" w:rsidRDefault="00A753B2" w:rsidP="00207E0F">
      <w:pPr>
        <w:spacing w:line="480" w:lineRule="auto"/>
        <w:jc w:val="both"/>
        <w:rPr>
          <w:rFonts w:ascii="Times New Roman" w:hAnsi="Times New Roman" w:cs="Times New Roman"/>
          <w:sz w:val="20"/>
          <w:szCs w:val="20"/>
        </w:rPr>
      </w:pPr>
      <w:r w:rsidRPr="004D28E4">
        <w:rPr>
          <w:rFonts w:ascii="Times New Roman" w:eastAsia="Times New Roman" w:hAnsi="Times New Roman" w:cs="Times New Roman"/>
          <w:sz w:val="20"/>
          <w:szCs w:val="20"/>
        </w:rPr>
        <w:t xml:space="preserve">Prior to the hydrological water balance, the SWAT moel was calibrated and validated to ensure accurate findings from the analysis. </w:t>
      </w:r>
      <w:r w:rsidRPr="004D28E4">
        <w:rPr>
          <w:rFonts w:ascii="Times New Roman" w:hAnsi="Times New Roman" w:cs="Times New Roman"/>
          <w:sz w:val="20"/>
          <w:szCs w:val="20"/>
        </w:rPr>
        <w:t>The model was calibrated for eight years (2006-2013) and validated for three years (2011-2013). Statistical indices, inclusive of Nash-Sutcliffe (ENS), Coefficient of Determination (R</w:t>
      </w:r>
      <w:r w:rsidRPr="004D28E4">
        <w:rPr>
          <w:rFonts w:ascii="Times New Roman" w:hAnsi="Times New Roman" w:cs="Times New Roman"/>
          <w:sz w:val="20"/>
          <w:szCs w:val="20"/>
          <w:vertAlign w:val="superscript"/>
        </w:rPr>
        <w:t>2</w:t>
      </w:r>
      <w:r w:rsidRPr="004D28E4">
        <w:rPr>
          <w:rFonts w:ascii="Times New Roman" w:hAnsi="Times New Roman" w:cs="Times New Roman"/>
          <w:sz w:val="20"/>
          <w:szCs w:val="20"/>
        </w:rPr>
        <w:t>), r-factor and p-factor, as well as Percentage Bias (PBIAS) (Table</w:t>
      </w:r>
      <w:r>
        <w:rPr>
          <w:rFonts w:ascii="Times New Roman" w:hAnsi="Times New Roman" w:cs="Times New Roman"/>
          <w:sz w:val="20"/>
          <w:szCs w:val="20"/>
        </w:rPr>
        <w:t xml:space="preserve"> </w:t>
      </w:r>
      <w:r w:rsidR="00207E0F">
        <w:rPr>
          <w:rFonts w:ascii="Times New Roman" w:hAnsi="Times New Roman" w:cs="Times New Roman"/>
          <w:sz w:val="20"/>
          <w:szCs w:val="20"/>
        </w:rPr>
        <w:t>4</w:t>
      </w:r>
      <w:r w:rsidRPr="004D28E4">
        <w:rPr>
          <w:rFonts w:ascii="Times New Roman" w:hAnsi="Times New Roman" w:cs="Times New Roman"/>
          <w:sz w:val="20"/>
          <w:szCs w:val="20"/>
        </w:rPr>
        <w:t xml:space="preserve">), supplied the information crucial overall performance for the SWAT model. </w:t>
      </w:r>
    </w:p>
    <w:p w14:paraId="40EB15B4" w14:textId="535053A9" w:rsidR="00A753B2" w:rsidRDefault="00A753B2" w:rsidP="00207E0F">
      <w:pPr>
        <w:spacing w:line="480" w:lineRule="auto"/>
        <w:jc w:val="both"/>
        <w:rPr>
          <w:rFonts w:ascii="Times New Roman" w:hAnsi="Times New Roman" w:cs="Times New Roman"/>
          <w:sz w:val="20"/>
          <w:szCs w:val="20"/>
        </w:rPr>
      </w:pPr>
      <w:r w:rsidRPr="006931E2">
        <w:rPr>
          <w:rFonts w:ascii="Times New Roman" w:hAnsi="Times New Roman" w:cs="Times New Roman"/>
          <w:sz w:val="20"/>
          <w:szCs w:val="20"/>
        </w:rPr>
        <w:t>Statistical analysis of the calibration procedure showed a strong NSE of 0.96 and an R</w:t>
      </w:r>
      <w:r w:rsidRPr="006931E2">
        <w:rPr>
          <w:rFonts w:ascii="Times New Roman" w:hAnsi="Times New Roman" w:cs="Times New Roman"/>
          <w:sz w:val="20"/>
          <w:szCs w:val="20"/>
          <w:vertAlign w:val="superscript"/>
        </w:rPr>
        <w:t>2</w:t>
      </w:r>
      <w:r w:rsidRPr="006931E2">
        <w:rPr>
          <w:rFonts w:ascii="Times New Roman" w:hAnsi="Times New Roman" w:cs="Times New Roman"/>
          <w:sz w:val="20"/>
          <w:szCs w:val="20"/>
        </w:rPr>
        <w:t xml:space="preserve"> of 0.96 (Table </w:t>
      </w:r>
      <w:r w:rsidR="00B227D2">
        <w:rPr>
          <w:rFonts w:ascii="Times New Roman" w:hAnsi="Times New Roman" w:cs="Times New Roman"/>
          <w:sz w:val="20"/>
          <w:szCs w:val="20"/>
        </w:rPr>
        <w:t>4</w:t>
      </w:r>
      <w:r w:rsidRPr="006931E2">
        <w:rPr>
          <w:rFonts w:ascii="Times New Roman" w:hAnsi="Times New Roman" w:cs="Times New Roman"/>
          <w:sz w:val="20"/>
          <w:szCs w:val="20"/>
        </w:rPr>
        <w:t>). The validation results of NSE were 0.98 while R</w:t>
      </w:r>
      <w:r w:rsidRPr="006931E2">
        <w:rPr>
          <w:rFonts w:ascii="Times New Roman" w:hAnsi="Times New Roman" w:cs="Times New Roman"/>
          <w:sz w:val="20"/>
          <w:szCs w:val="20"/>
          <w:vertAlign w:val="superscript"/>
        </w:rPr>
        <w:t xml:space="preserve">2 </w:t>
      </w:r>
      <w:r w:rsidRPr="006931E2">
        <w:rPr>
          <w:rFonts w:ascii="Times New Roman" w:hAnsi="Times New Roman" w:cs="Times New Roman"/>
          <w:sz w:val="20"/>
          <w:szCs w:val="20"/>
        </w:rPr>
        <w:t>was 0.92. After the analysis, the graphical values of NSE and R</w:t>
      </w:r>
      <w:r w:rsidRPr="006931E2">
        <w:rPr>
          <w:rFonts w:ascii="Times New Roman" w:hAnsi="Times New Roman" w:cs="Times New Roman"/>
          <w:sz w:val="20"/>
          <w:szCs w:val="20"/>
          <w:vertAlign w:val="superscript"/>
        </w:rPr>
        <w:t>2</w:t>
      </w:r>
      <w:r w:rsidRPr="006931E2">
        <w:rPr>
          <w:rFonts w:ascii="Times New Roman" w:hAnsi="Times New Roman" w:cs="Times New Roman"/>
          <w:sz w:val="20"/>
          <w:szCs w:val="20"/>
        </w:rPr>
        <w:t xml:space="preserve"> suggested that the SWAT model had a significant analytical capacity (Moriasi </w:t>
      </w:r>
      <w:r w:rsidRPr="006931E2">
        <w:rPr>
          <w:rFonts w:ascii="Times New Roman" w:hAnsi="Times New Roman" w:cs="Times New Roman"/>
          <w:i/>
          <w:iCs/>
          <w:sz w:val="20"/>
          <w:szCs w:val="20"/>
        </w:rPr>
        <w:t>et al.,</w:t>
      </w:r>
      <w:r w:rsidRPr="006931E2">
        <w:rPr>
          <w:rFonts w:ascii="Times New Roman" w:hAnsi="Times New Roman" w:cs="Times New Roman"/>
          <w:sz w:val="20"/>
          <w:szCs w:val="20"/>
        </w:rPr>
        <w:t xml:space="preserve"> 2007). </w:t>
      </w:r>
      <w:r>
        <w:rPr>
          <w:rFonts w:ascii="Times New Roman" w:hAnsi="Times New Roman" w:cs="Times New Roman"/>
          <w:sz w:val="20"/>
          <w:szCs w:val="20"/>
        </w:rPr>
        <w:t xml:space="preserve"> </w:t>
      </w:r>
      <w:r w:rsidRPr="006931E2">
        <w:rPr>
          <w:rFonts w:ascii="Times New Roman" w:hAnsi="Times New Roman" w:cs="Times New Roman"/>
          <w:sz w:val="20"/>
          <w:szCs w:val="20"/>
        </w:rPr>
        <w:t xml:space="preserve">Given the uncertainty, the </w:t>
      </w:r>
      <w:r w:rsidRPr="006931E2">
        <w:rPr>
          <w:rFonts w:ascii="Times New Roman" w:hAnsi="Times New Roman" w:cs="Times New Roman"/>
          <w:i/>
          <w:iCs/>
          <w:sz w:val="20"/>
          <w:szCs w:val="20"/>
        </w:rPr>
        <w:t>p – factor</w:t>
      </w:r>
      <w:r w:rsidRPr="006931E2">
        <w:rPr>
          <w:rFonts w:ascii="Times New Roman" w:hAnsi="Times New Roman" w:cs="Times New Roman"/>
          <w:sz w:val="20"/>
          <w:szCs w:val="20"/>
        </w:rPr>
        <w:t xml:space="preserve"> was almost ONE, this indicated that the </w:t>
      </w:r>
      <w:r w:rsidRPr="006931E2">
        <w:rPr>
          <w:rFonts w:ascii="Times New Roman" w:hAnsi="Times New Roman" w:cs="Times New Roman"/>
          <w:i/>
          <w:iCs/>
          <w:sz w:val="20"/>
          <w:szCs w:val="20"/>
        </w:rPr>
        <w:t>r –factor</w:t>
      </w:r>
      <w:r w:rsidRPr="006931E2">
        <w:rPr>
          <w:rFonts w:ascii="Times New Roman" w:hAnsi="Times New Roman" w:cs="Times New Roman"/>
          <w:sz w:val="20"/>
          <w:szCs w:val="20"/>
        </w:rPr>
        <w:t xml:space="preserve"> was near-ZERO factor indicates a perfect model simulation and correlates with the measured data (Abbaspour </w:t>
      </w:r>
      <w:r w:rsidRPr="006931E2">
        <w:rPr>
          <w:rFonts w:ascii="Times New Roman" w:hAnsi="Times New Roman" w:cs="Times New Roman"/>
          <w:i/>
          <w:iCs/>
          <w:sz w:val="20"/>
          <w:szCs w:val="20"/>
        </w:rPr>
        <w:t>et al.,</w:t>
      </w:r>
      <w:r w:rsidRPr="006931E2">
        <w:rPr>
          <w:rFonts w:ascii="Times New Roman" w:hAnsi="Times New Roman" w:cs="Times New Roman"/>
          <w:sz w:val="20"/>
          <w:szCs w:val="20"/>
        </w:rPr>
        <w:t xml:space="preserve"> 2015).</w:t>
      </w:r>
    </w:p>
    <w:p w14:paraId="4BA64BB1" w14:textId="77777777" w:rsidR="006F0E16" w:rsidRDefault="006F0E16" w:rsidP="00207E0F">
      <w:pPr>
        <w:spacing w:line="480" w:lineRule="auto"/>
        <w:jc w:val="both"/>
        <w:rPr>
          <w:rFonts w:ascii="Times New Roman" w:hAnsi="Times New Roman" w:cs="Times New Roman"/>
          <w:sz w:val="20"/>
          <w:szCs w:val="20"/>
        </w:rPr>
      </w:pPr>
    </w:p>
    <w:p w14:paraId="59AEF15A" w14:textId="77390DE9" w:rsidR="00B227D2" w:rsidRDefault="00B227D2" w:rsidP="00B227D2">
      <w:pPr>
        <w:spacing w:line="480" w:lineRule="auto"/>
        <w:rPr>
          <w:rFonts w:ascii="Times New Roman" w:hAnsi="Times New Roman"/>
          <w:b/>
          <w:bCs/>
          <w:sz w:val="20"/>
          <w:szCs w:val="20"/>
        </w:rPr>
      </w:pPr>
      <w:r>
        <w:rPr>
          <w:rFonts w:ascii="Times New Roman" w:hAnsi="Times New Roman" w:cs="Times New Roman"/>
          <w:b/>
          <w:bCs/>
          <w:sz w:val="20"/>
          <w:szCs w:val="20"/>
        </w:rPr>
        <w:lastRenderedPageBreak/>
        <w:t xml:space="preserve">        </w:t>
      </w:r>
      <w:r w:rsidR="006236FA" w:rsidRPr="006C316A">
        <w:rPr>
          <w:rFonts w:ascii="Times New Roman" w:hAnsi="Times New Roman" w:cs="Times New Roman"/>
          <w:b/>
          <w:bCs/>
          <w:sz w:val="20"/>
          <w:szCs w:val="20"/>
        </w:rPr>
        <w:t xml:space="preserve">Table </w:t>
      </w:r>
      <w:r w:rsidR="00207E0F">
        <w:rPr>
          <w:rFonts w:ascii="Times New Roman" w:hAnsi="Times New Roman" w:cs="Times New Roman"/>
          <w:b/>
          <w:bCs/>
          <w:sz w:val="20"/>
          <w:szCs w:val="20"/>
        </w:rPr>
        <w:t xml:space="preserve">4.  </w:t>
      </w:r>
      <w:r>
        <w:rPr>
          <w:rFonts w:ascii="Times New Roman" w:hAnsi="Times New Roman"/>
          <w:b/>
          <w:bCs/>
          <w:sz w:val="20"/>
          <w:szCs w:val="20"/>
        </w:rPr>
        <w:t>The Performance of the SWAT model</w:t>
      </w:r>
    </w:p>
    <w:p w14:paraId="52742169" w14:textId="03B9D63B" w:rsidR="00A753B2" w:rsidRDefault="006236FA" w:rsidP="00116D4C">
      <w:pPr>
        <w:spacing w:line="360" w:lineRule="auto"/>
        <w:jc w:val="both"/>
        <w:rPr>
          <w:rFonts w:ascii="Times New Roman" w:hAnsi="Times New Roman" w:cs="Times New Roman"/>
          <w:sz w:val="20"/>
          <w:szCs w:val="20"/>
        </w:rPr>
      </w:pPr>
      <w:r w:rsidRPr="006C316A">
        <w:rPr>
          <w:noProof/>
          <w:sz w:val="20"/>
          <w:szCs w:val="20"/>
        </w:rPr>
        <w:drawing>
          <wp:inline distT="0" distB="0" distL="0" distR="0" wp14:anchorId="280F849F" wp14:editId="765F995B">
            <wp:extent cx="4959927" cy="139285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538" t="58190" r="36846" b="24544"/>
                    <a:stretch/>
                  </pic:blipFill>
                  <pic:spPr bwMode="auto">
                    <a:xfrm>
                      <a:off x="0" y="0"/>
                      <a:ext cx="4981066" cy="1398792"/>
                    </a:xfrm>
                    <a:prstGeom prst="rect">
                      <a:avLst/>
                    </a:prstGeom>
                    <a:ln>
                      <a:noFill/>
                    </a:ln>
                    <a:extLst>
                      <a:ext uri="{53640926-AAD7-44D8-BBD7-CCE9431645EC}">
                        <a14:shadowObscured xmlns:a14="http://schemas.microsoft.com/office/drawing/2010/main"/>
                      </a:ext>
                    </a:extLst>
                  </pic:spPr>
                </pic:pic>
              </a:graphicData>
            </a:graphic>
          </wp:inline>
        </w:drawing>
      </w:r>
    </w:p>
    <w:p w14:paraId="0B5C5799" w14:textId="77777777" w:rsidR="009F5BBE" w:rsidRPr="009F5BBE" w:rsidRDefault="009F5BBE" w:rsidP="00116D4C">
      <w:pPr>
        <w:spacing w:line="360" w:lineRule="auto"/>
        <w:jc w:val="both"/>
        <w:rPr>
          <w:rFonts w:ascii="Times New Roman" w:hAnsi="Times New Roman" w:cs="Times New Roman"/>
          <w:sz w:val="8"/>
          <w:szCs w:val="8"/>
        </w:rPr>
      </w:pPr>
    </w:p>
    <w:p w14:paraId="1C255F2A" w14:textId="77777777" w:rsidR="006236FA" w:rsidRDefault="006236FA" w:rsidP="006236FA">
      <w:pPr>
        <w:pStyle w:val="Heading2"/>
        <w:ind w:firstLine="0"/>
        <w:jc w:val="both"/>
        <w:rPr>
          <w:rFonts w:eastAsia="Calibri" w:cs="Times New Roman"/>
          <w:b w:val="0"/>
          <w:sz w:val="20"/>
          <w:szCs w:val="20"/>
        </w:rPr>
      </w:pPr>
      <w:bookmarkStart w:id="9" w:name="_Toc173938130"/>
      <w:r w:rsidRPr="006C316A">
        <w:rPr>
          <w:rFonts w:eastAsia="Calibri" w:cs="Times New Roman"/>
          <w:b w:val="0"/>
          <w:sz w:val="20"/>
          <w:szCs w:val="20"/>
        </w:rPr>
        <w:t>When comparing results simulated and observed flows for the model, SWAT model was sufficient for the analysis of the water balance in the area.</w:t>
      </w:r>
      <w:bookmarkEnd w:id="9"/>
    </w:p>
    <w:p w14:paraId="60C0882D" w14:textId="77777777" w:rsidR="006236FA" w:rsidRPr="006F0E16" w:rsidRDefault="006236FA" w:rsidP="006236FA">
      <w:pPr>
        <w:spacing w:line="360" w:lineRule="auto"/>
        <w:jc w:val="both"/>
        <w:rPr>
          <w:rFonts w:ascii="Times New Roman" w:hAnsi="Times New Roman" w:cs="Times New Roman"/>
          <w:sz w:val="6"/>
          <w:szCs w:val="6"/>
        </w:rPr>
      </w:pPr>
    </w:p>
    <w:p w14:paraId="4F85CF40" w14:textId="777FC2B6" w:rsidR="00116D4C" w:rsidRDefault="006904A8" w:rsidP="006904A8">
      <w:pPr>
        <w:rPr>
          <w:rFonts w:ascii="Times New Roman" w:eastAsia="Times New Roman" w:hAnsi="Times New Roman" w:cs="Times New Roman"/>
          <w:b/>
          <w:bCs/>
        </w:rPr>
      </w:pPr>
      <w:r>
        <w:rPr>
          <w:rFonts w:ascii="Times New Roman" w:eastAsia="Times New Roman" w:hAnsi="Times New Roman" w:cs="Times New Roman"/>
          <w:b/>
          <w:bCs/>
        </w:rPr>
        <w:t>5</w:t>
      </w:r>
      <w:r>
        <w:rPr>
          <w:rFonts w:ascii="Times New Roman" w:eastAsia="Times New Roman" w:hAnsi="Times New Roman" w:cs="Times New Roman"/>
          <w:b/>
          <w:bCs/>
        </w:rPr>
        <w:tab/>
        <w:t>Conclusion</w:t>
      </w:r>
      <w:r w:rsidR="00DE054B">
        <w:rPr>
          <w:rFonts w:ascii="Times New Roman" w:eastAsia="Times New Roman" w:hAnsi="Times New Roman" w:cs="Times New Roman"/>
          <w:b/>
          <w:bCs/>
        </w:rPr>
        <w:t xml:space="preserve"> </w:t>
      </w:r>
    </w:p>
    <w:p w14:paraId="7B5DA8D8" w14:textId="77777777" w:rsidR="00DE054B" w:rsidRPr="00DE054B" w:rsidRDefault="00DE054B" w:rsidP="006904A8">
      <w:pPr>
        <w:rPr>
          <w:rFonts w:ascii="Times New Roman" w:eastAsia="Times New Roman" w:hAnsi="Times New Roman" w:cs="Times New Roman"/>
          <w:b/>
          <w:bCs/>
          <w:sz w:val="6"/>
          <w:szCs w:val="6"/>
        </w:rPr>
      </w:pPr>
    </w:p>
    <w:p w14:paraId="627C322A" w14:textId="77777777" w:rsidR="00207E0F" w:rsidRDefault="005D2541" w:rsidP="00207E0F">
      <w:pPr>
        <w:spacing w:after="240" w:line="480" w:lineRule="auto"/>
        <w:jc w:val="both"/>
        <w:rPr>
          <w:rFonts w:ascii="Times New Roman" w:eastAsia="Times New Roman" w:hAnsi="Times New Roman" w:cs="Times New Roman"/>
          <w:sz w:val="20"/>
          <w:szCs w:val="20"/>
        </w:rPr>
      </w:pPr>
      <w:r w:rsidRPr="005D2541">
        <w:rPr>
          <w:rFonts w:ascii="Times New Roman" w:eastAsia="Times New Roman" w:hAnsi="Times New Roman" w:cs="Times New Roman"/>
          <w:sz w:val="20"/>
          <w:szCs w:val="20"/>
        </w:rPr>
        <w:t>The SWAT model has predictive ability for the Ndarugu - Thiririka sub-catchments, as evidenced by high values of the Coefficient of Determination (R</w:t>
      </w:r>
      <w:r w:rsidRPr="005D2541">
        <w:rPr>
          <w:rFonts w:ascii="Times New Roman" w:eastAsia="Times New Roman" w:hAnsi="Times New Roman" w:cs="Times New Roman"/>
          <w:sz w:val="20"/>
          <w:szCs w:val="20"/>
          <w:vertAlign w:val="superscript"/>
        </w:rPr>
        <w:t>2</w:t>
      </w:r>
      <w:r w:rsidRPr="005D2541">
        <w:rPr>
          <w:rFonts w:ascii="Times New Roman" w:eastAsia="Times New Roman" w:hAnsi="Times New Roman" w:cs="Times New Roman"/>
          <w:sz w:val="20"/>
          <w:szCs w:val="20"/>
        </w:rPr>
        <w:t>) and the Nash-Sutcliffe Efficiency (ENS) during the calibration and validation periods for the monthly flows. The calibration and validation R</w:t>
      </w:r>
      <w:r w:rsidRPr="005D2541">
        <w:rPr>
          <w:rFonts w:ascii="Times New Roman" w:eastAsia="Times New Roman" w:hAnsi="Times New Roman" w:cs="Times New Roman"/>
          <w:sz w:val="20"/>
          <w:szCs w:val="20"/>
          <w:vertAlign w:val="superscript"/>
        </w:rPr>
        <w:t>2</w:t>
      </w:r>
      <w:r w:rsidRPr="005D2541">
        <w:rPr>
          <w:rFonts w:ascii="Times New Roman" w:eastAsia="Times New Roman" w:hAnsi="Times New Roman" w:cs="Times New Roman"/>
          <w:sz w:val="20"/>
          <w:szCs w:val="20"/>
        </w:rPr>
        <w:t xml:space="preserve"> values were 0.96 and 0.92 for the calibration, and 0.96 and 0.98 for the validation of the ENS.</w:t>
      </w:r>
      <w:r w:rsidR="00DE054B">
        <w:rPr>
          <w:rFonts w:ascii="Times New Roman" w:eastAsia="Times New Roman" w:hAnsi="Times New Roman" w:cs="Times New Roman"/>
          <w:sz w:val="20"/>
          <w:szCs w:val="20"/>
        </w:rPr>
        <w:t xml:space="preserve"> </w:t>
      </w:r>
    </w:p>
    <w:p w14:paraId="1EE1365D" w14:textId="20E34FC5" w:rsidR="00207E0F" w:rsidRDefault="00EC1E6B" w:rsidP="00EC1E6B">
      <w:pPr>
        <w:spacing w:line="480" w:lineRule="auto"/>
        <w:jc w:val="both"/>
        <w:rPr>
          <w:rFonts w:ascii="Times New Roman" w:eastAsia="Times New Roman" w:hAnsi="Times New Roman" w:cs="Times New Roman"/>
          <w:sz w:val="20"/>
          <w:szCs w:val="20"/>
        </w:rPr>
      </w:pPr>
      <w:r w:rsidRPr="00EC1E6B">
        <w:rPr>
          <w:rFonts w:ascii="Times New Roman" w:eastAsia="Times New Roman" w:hAnsi="Times New Roman" w:cs="Times New Roman"/>
          <w:sz w:val="20"/>
          <w:szCs w:val="20"/>
        </w:rPr>
        <w:t xml:space="preserve">The SWAT model effectively estimated water balance components and hydrological characterization of Ndarugu - Thiririka sub-catchments, aiding policymakers in managing water resources and planning challenges. However, more studies are needed to incorporate models like the Water Evaluation </w:t>
      </w:r>
      <w:proofErr w:type="gramStart"/>
      <w:r w:rsidR="006F0E16">
        <w:rPr>
          <w:rFonts w:ascii="Times New Roman" w:eastAsia="Times New Roman" w:hAnsi="Times New Roman" w:cs="Times New Roman"/>
          <w:sz w:val="20"/>
          <w:szCs w:val="20"/>
        </w:rPr>
        <w:t>A</w:t>
      </w:r>
      <w:r w:rsidR="006F0E16" w:rsidRPr="00EC1E6B">
        <w:rPr>
          <w:rFonts w:ascii="Times New Roman" w:eastAsia="Times New Roman" w:hAnsi="Times New Roman" w:cs="Times New Roman"/>
          <w:sz w:val="20"/>
          <w:szCs w:val="20"/>
        </w:rPr>
        <w:t>nd</w:t>
      </w:r>
      <w:proofErr w:type="gramEnd"/>
      <w:r w:rsidRPr="00EC1E6B">
        <w:rPr>
          <w:rFonts w:ascii="Times New Roman" w:eastAsia="Times New Roman" w:hAnsi="Times New Roman" w:cs="Times New Roman"/>
          <w:sz w:val="20"/>
          <w:szCs w:val="20"/>
        </w:rPr>
        <w:t xml:space="preserve"> Planning system (WEAP) to understand the dynamics of the administration of water resources in the sub-catchments.</w:t>
      </w:r>
    </w:p>
    <w:p w14:paraId="5279C1E9" w14:textId="4B77F4F5" w:rsidR="00972D15" w:rsidRDefault="00972D15" w:rsidP="006F0E16">
      <w:pPr>
        <w:jc w:val="center"/>
        <w:rPr>
          <w:rFonts w:ascii="Times New Roman" w:eastAsia="Times New Roman" w:hAnsi="Times New Roman" w:cs="Times New Roman"/>
          <w:b/>
          <w:bCs/>
        </w:rPr>
      </w:pPr>
      <w:r w:rsidRPr="007E03B3">
        <w:rPr>
          <w:rFonts w:ascii="Times New Roman" w:eastAsia="Times New Roman" w:hAnsi="Times New Roman" w:cs="Times New Roman"/>
          <w:b/>
          <w:bCs/>
        </w:rPr>
        <w:t>References</w:t>
      </w:r>
    </w:p>
    <w:p w14:paraId="215B83A7" w14:textId="77777777" w:rsidR="0025682A" w:rsidRDefault="0025682A" w:rsidP="00972D15">
      <w:pPr>
        <w:jc w:val="center"/>
        <w:rPr>
          <w:rFonts w:ascii="Times New Roman" w:eastAsia="Times New Roman" w:hAnsi="Times New Roman" w:cs="Times New Roman"/>
          <w:b/>
          <w:bCs/>
        </w:rPr>
      </w:pPr>
    </w:p>
    <w:p w14:paraId="54195A21" w14:textId="2E6B8CCF" w:rsidR="00624B1B" w:rsidRDefault="00624B1B" w:rsidP="009F5BBE">
      <w:pPr>
        <w:pStyle w:val="NormalWeb"/>
        <w:spacing w:before="0" w:after="0" w:line="480" w:lineRule="auto"/>
        <w:ind w:left="720" w:hanging="720"/>
        <w:rPr>
          <w:sz w:val="20"/>
          <w:szCs w:val="20"/>
          <w:shd w:val="clear" w:color="auto" w:fill="FFFFFF"/>
        </w:rPr>
      </w:pPr>
      <w:r w:rsidRPr="005B3649">
        <w:rPr>
          <w:sz w:val="20"/>
          <w:szCs w:val="20"/>
          <w:shd w:val="clear" w:color="auto" w:fill="FFFFFF"/>
        </w:rPr>
        <w:t xml:space="preserve">Abbaspour, K., Rouholahnejad, E., Vaghefi, S., Srinivasan, R., Yang, H., </w:t>
      </w:r>
      <w:r w:rsidR="0025682A">
        <w:rPr>
          <w:sz w:val="20"/>
          <w:szCs w:val="20"/>
          <w:shd w:val="clear" w:color="auto" w:fill="FFFFFF"/>
        </w:rPr>
        <w:t>and</w:t>
      </w:r>
      <w:r w:rsidRPr="005B3649">
        <w:rPr>
          <w:sz w:val="20"/>
          <w:szCs w:val="20"/>
          <w:shd w:val="clear" w:color="auto" w:fill="FFFFFF"/>
        </w:rPr>
        <w:t xml:space="preserve"> Kløve, B. (2015). A continental-scale hydrology and water quality model for Europe: Calibration and uncertainty of a high-resolution large-scale SWAT model. Journal of Hydrology, 524, 733-752</w:t>
      </w:r>
      <w:r>
        <w:rPr>
          <w:sz w:val="20"/>
          <w:szCs w:val="20"/>
          <w:shd w:val="clear" w:color="auto" w:fill="FFFFFF"/>
        </w:rPr>
        <w:t>.</w:t>
      </w:r>
    </w:p>
    <w:p w14:paraId="6BA39221" w14:textId="5B23D4BD" w:rsidR="00624B1B" w:rsidRDefault="00624B1B" w:rsidP="009F5BBE">
      <w:pPr>
        <w:spacing w:after="0" w:line="480" w:lineRule="auto"/>
        <w:ind w:left="720" w:hanging="720"/>
        <w:jc w:val="both"/>
        <w:rPr>
          <w:rFonts w:ascii="Times New Roman" w:hAnsi="Times New Roman" w:cs="Times New Roman"/>
          <w:color w:val="000000"/>
          <w:sz w:val="20"/>
          <w:szCs w:val="20"/>
          <w:shd w:val="clear" w:color="auto" w:fill="FFFFFF"/>
        </w:rPr>
      </w:pPr>
      <w:r w:rsidRPr="00EC5446">
        <w:rPr>
          <w:rFonts w:ascii="Times New Roman" w:hAnsi="Times New Roman" w:cs="Times New Roman"/>
          <w:color w:val="000000"/>
          <w:sz w:val="20"/>
          <w:szCs w:val="20"/>
          <w:shd w:val="clear" w:color="auto" w:fill="FFFFFF"/>
        </w:rPr>
        <w:t xml:space="preserve">Al-Kubaisi, M. H., </w:t>
      </w:r>
      <w:r w:rsidR="009F5BBE">
        <w:rPr>
          <w:rFonts w:ascii="Times New Roman" w:hAnsi="Times New Roman" w:cs="Times New Roman"/>
          <w:color w:val="000000"/>
          <w:sz w:val="20"/>
          <w:szCs w:val="20"/>
          <w:shd w:val="clear" w:color="auto" w:fill="FFFFFF"/>
        </w:rPr>
        <w:t>and</w:t>
      </w:r>
      <w:r w:rsidRPr="00EC5446">
        <w:rPr>
          <w:rFonts w:ascii="Times New Roman" w:hAnsi="Times New Roman" w:cs="Times New Roman"/>
          <w:color w:val="000000"/>
          <w:sz w:val="20"/>
          <w:szCs w:val="20"/>
          <w:shd w:val="clear" w:color="auto" w:fill="FFFFFF"/>
        </w:rPr>
        <w:t xml:space="preserve"> Al-Kubaisi, Q. Y. (2023). undefined. </w:t>
      </w:r>
      <w:r w:rsidRPr="00EC5446">
        <w:rPr>
          <w:rStyle w:val="Emphasis"/>
          <w:rFonts w:ascii="Times New Roman" w:hAnsi="Times New Roman" w:cs="Times New Roman"/>
          <w:color w:val="000000"/>
          <w:sz w:val="20"/>
          <w:szCs w:val="20"/>
          <w:shd w:val="clear" w:color="auto" w:fill="FFFFFF"/>
        </w:rPr>
        <w:t>Iraqi Journal of Science</w:t>
      </w:r>
      <w:r w:rsidRPr="00EC5446">
        <w:rPr>
          <w:rFonts w:ascii="Times New Roman" w:hAnsi="Times New Roman" w:cs="Times New Roman"/>
          <w:color w:val="000000"/>
          <w:sz w:val="20"/>
          <w:szCs w:val="20"/>
          <w:shd w:val="clear" w:color="auto" w:fill="FFFFFF"/>
        </w:rPr>
        <w:t xml:space="preserve">, 1254-1267. </w:t>
      </w:r>
    </w:p>
    <w:p w14:paraId="269893C8" w14:textId="77777777" w:rsidR="009F5BBE" w:rsidRPr="009F5BBE" w:rsidRDefault="009F5BBE" w:rsidP="009F5BBE">
      <w:pPr>
        <w:spacing w:after="0" w:line="480" w:lineRule="auto"/>
        <w:ind w:left="720" w:hanging="720"/>
        <w:jc w:val="both"/>
        <w:rPr>
          <w:rFonts w:ascii="Times New Roman" w:hAnsi="Times New Roman" w:cs="Times New Roman"/>
          <w:sz w:val="8"/>
          <w:szCs w:val="8"/>
        </w:rPr>
      </w:pPr>
    </w:p>
    <w:p w14:paraId="7D29FCA3" w14:textId="404753C2" w:rsidR="00624B1B" w:rsidRDefault="00624B1B" w:rsidP="009F5BBE">
      <w:pPr>
        <w:spacing w:line="480" w:lineRule="auto"/>
        <w:ind w:left="720" w:hanging="720"/>
        <w:jc w:val="both"/>
        <w:rPr>
          <w:rFonts w:ascii="Times New Roman" w:hAnsi="Times New Roman" w:cs="Times New Roman"/>
          <w:color w:val="000000"/>
          <w:sz w:val="20"/>
          <w:szCs w:val="20"/>
          <w:shd w:val="clear" w:color="auto" w:fill="FFFFFF"/>
        </w:rPr>
      </w:pPr>
      <w:r w:rsidRPr="006C2FF2">
        <w:rPr>
          <w:rFonts w:ascii="Times New Roman" w:hAnsi="Times New Roman" w:cs="Times New Roman"/>
          <w:color w:val="000000"/>
          <w:sz w:val="20"/>
          <w:szCs w:val="20"/>
          <w:shd w:val="clear" w:color="auto" w:fill="FFFFFF"/>
        </w:rPr>
        <w:lastRenderedPageBreak/>
        <w:t xml:space="preserve">Astite, S. W., Kermani, S., </w:t>
      </w:r>
      <w:r w:rsidR="009F5BBE">
        <w:rPr>
          <w:rFonts w:ascii="Times New Roman" w:hAnsi="Times New Roman" w:cs="Times New Roman"/>
          <w:color w:val="000000"/>
          <w:sz w:val="20"/>
          <w:szCs w:val="20"/>
          <w:shd w:val="clear" w:color="auto" w:fill="FFFFFF"/>
        </w:rPr>
        <w:t xml:space="preserve">and </w:t>
      </w:r>
      <w:r w:rsidRPr="006C2FF2">
        <w:rPr>
          <w:rFonts w:ascii="Times New Roman" w:hAnsi="Times New Roman" w:cs="Times New Roman"/>
          <w:color w:val="000000"/>
          <w:sz w:val="20"/>
          <w:szCs w:val="20"/>
          <w:shd w:val="clear" w:color="auto" w:fill="FFFFFF"/>
        </w:rPr>
        <w:t>Djediat, Y. (2023). The influence of the land use land cover (LULC) changes on hydrological response in urbanized watersheds. Case study of wadi Koriche and wadi Kniss watersheds, northern Algeria. </w:t>
      </w:r>
      <w:r w:rsidRPr="006C2FF2">
        <w:rPr>
          <w:rStyle w:val="Emphasis"/>
          <w:rFonts w:ascii="Times New Roman" w:hAnsi="Times New Roman" w:cs="Times New Roman"/>
          <w:color w:val="000000"/>
          <w:sz w:val="20"/>
          <w:szCs w:val="20"/>
          <w:shd w:val="clear" w:color="auto" w:fill="FFFFFF"/>
        </w:rPr>
        <w:t>Arabian Journal of Geosciences</w:t>
      </w:r>
      <w:r w:rsidRPr="006C2FF2">
        <w:rPr>
          <w:rFonts w:ascii="Times New Roman" w:hAnsi="Times New Roman" w:cs="Times New Roman"/>
          <w:color w:val="000000"/>
          <w:sz w:val="20"/>
          <w:szCs w:val="20"/>
          <w:shd w:val="clear" w:color="auto" w:fill="FFFFFF"/>
        </w:rPr>
        <w:t>, </w:t>
      </w:r>
      <w:r w:rsidRPr="006C2FF2">
        <w:rPr>
          <w:rStyle w:val="Emphasis"/>
          <w:rFonts w:ascii="Times New Roman" w:hAnsi="Times New Roman" w:cs="Times New Roman"/>
          <w:color w:val="000000"/>
          <w:sz w:val="20"/>
          <w:szCs w:val="20"/>
          <w:shd w:val="clear" w:color="auto" w:fill="FFFFFF"/>
        </w:rPr>
        <w:t>16</w:t>
      </w:r>
      <w:r w:rsidRPr="006C2FF2">
        <w:rPr>
          <w:rFonts w:ascii="Times New Roman" w:hAnsi="Times New Roman" w:cs="Times New Roman"/>
          <w:color w:val="000000"/>
          <w:sz w:val="20"/>
          <w:szCs w:val="20"/>
          <w:shd w:val="clear" w:color="auto" w:fill="FFFFFF"/>
        </w:rPr>
        <w:t xml:space="preserve">(4). </w:t>
      </w:r>
    </w:p>
    <w:p w14:paraId="0B1E4812" w14:textId="13EE20DF" w:rsidR="00E3604C" w:rsidRPr="00E3604C" w:rsidRDefault="00E3604C" w:rsidP="00E3604C">
      <w:pPr>
        <w:spacing w:after="0" w:line="480" w:lineRule="auto"/>
        <w:ind w:left="720" w:hanging="720"/>
        <w:jc w:val="both"/>
        <w:rPr>
          <w:rFonts w:ascii="Times New Roman" w:hAnsi="Times New Roman" w:cs="Times New Roman"/>
          <w:sz w:val="20"/>
          <w:szCs w:val="20"/>
        </w:rPr>
      </w:pPr>
      <w:r w:rsidRPr="00E3604C">
        <w:rPr>
          <w:rFonts w:ascii="Times New Roman" w:hAnsi="Times New Roman" w:cs="Times New Roman"/>
          <w:color w:val="000000"/>
          <w:sz w:val="20"/>
          <w:szCs w:val="20"/>
          <w:shd w:val="clear" w:color="auto" w:fill="FFFFFF"/>
        </w:rPr>
        <w:t xml:space="preserve">Bhatt, V., </w:t>
      </w:r>
      <w:r w:rsidRPr="00E3604C">
        <w:rPr>
          <w:rFonts w:ascii="Times New Roman" w:hAnsi="Times New Roman" w:cs="Times New Roman"/>
          <w:color w:val="000000"/>
          <w:sz w:val="20"/>
          <w:szCs w:val="20"/>
          <w:shd w:val="clear" w:color="auto" w:fill="FFFFFF"/>
        </w:rPr>
        <w:t>and</w:t>
      </w:r>
      <w:r w:rsidRPr="00E3604C">
        <w:rPr>
          <w:rFonts w:ascii="Times New Roman" w:hAnsi="Times New Roman" w:cs="Times New Roman"/>
          <w:color w:val="000000"/>
          <w:sz w:val="20"/>
          <w:szCs w:val="20"/>
          <w:shd w:val="clear" w:color="auto" w:fill="FFFFFF"/>
        </w:rPr>
        <w:t xml:space="preserve"> Tiwari, A. (2019). SWAT model and its application. </w:t>
      </w:r>
      <w:r w:rsidRPr="00E3604C">
        <w:rPr>
          <w:rStyle w:val="Emphasis"/>
          <w:rFonts w:ascii="Times New Roman" w:hAnsi="Times New Roman" w:cs="Times New Roman"/>
          <w:color w:val="000000"/>
          <w:sz w:val="20"/>
          <w:szCs w:val="20"/>
          <w:shd w:val="clear" w:color="auto" w:fill="FFFFFF"/>
        </w:rPr>
        <w:t>Watershed Hydrology, Management and Modeling</w:t>
      </w:r>
      <w:r w:rsidRPr="00E3604C">
        <w:rPr>
          <w:rFonts w:ascii="Times New Roman" w:hAnsi="Times New Roman" w:cs="Times New Roman"/>
          <w:color w:val="000000"/>
          <w:sz w:val="20"/>
          <w:szCs w:val="20"/>
          <w:shd w:val="clear" w:color="auto" w:fill="FFFFFF"/>
        </w:rPr>
        <w:t xml:space="preserve">, 142-151. </w:t>
      </w:r>
    </w:p>
    <w:p w14:paraId="4ECDF4C5" w14:textId="77777777" w:rsidR="00624B1B" w:rsidRPr="00110A64" w:rsidRDefault="00624B1B" w:rsidP="009F5BBE">
      <w:pPr>
        <w:spacing w:line="480" w:lineRule="auto"/>
        <w:ind w:left="720" w:hanging="720"/>
        <w:jc w:val="both"/>
        <w:rPr>
          <w:rFonts w:ascii="Times New Roman" w:hAnsi="Times New Roman" w:cs="Times New Roman"/>
          <w:sz w:val="20"/>
          <w:szCs w:val="20"/>
        </w:rPr>
      </w:pPr>
      <w:r w:rsidRPr="00110A64">
        <w:rPr>
          <w:rFonts w:ascii="Times New Roman" w:hAnsi="Times New Roman" w:cs="Times New Roman"/>
          <w:color w:val="000000"/>
          <w:sz w:val="20"/>
          <w:szCs w:val="20"/>
          <w:shd w:val="clear" w:color="auto" w:fill="FFFFFF"/>
        </w:rPr>
        <w:t xml:space="preserve">Bizhanimanzar, M., Leconte, R., </w:t>
      </w:r>
      <w:r>
        <w:rPr>
          <w:rFonts w:ascii="Times New Roman" w:hAnsi="Times New Roman" w:cs="Times New Roman"/>
          <w:color w:val="000000"/>
          <w:sz w:val="20"/>
          <w:szCs w:val="20"/>
          <w:shd w:val="clear" w:color="auto" w:fill="FFFFFF"/>
        </w:rPr>
        <w:t>and</w:t>
      </w:r>
      <w:r w:rsidRPr="00110A64">
        <w:rPr>
          <w:rFonts w:ascii="Times New Roman" w:hAnsi="Times New Roman" w:cs="Times New Roman"/>
          <w:color w:val="000000"/>
          <w:sz w:val="20"/>
          <w:szCs w:val="20"/>
          <w:shd w:val="clear" w:color="auto" w:fill="FFFFFF"/>
        </w:rPr>
        <w:t xml:space="preserve"> Nuth, M. (2020). Catchment-scale integrated surface water-groundwater hydrologic modelling using conceptual and physically based models: A model comparison study. </w:t>
      </w:r>
      <w:r w:rsidRPr="00110A64">
        <w:rPr>
          <w:rStyle w:val="Emphasis"/>
          <w:rFonts w:ascii="Times New Roman" w:hAnsi="Times New Roman" w:cs="Times New Roman"/>
          <w:color w:val="000000"/>
          <w:sz w:val="20"/>
          <w:szCs w:val="20"/>
          <w:shd w:val="clear" w:color="auto" w:fill="FFFFFF"/>
        </w:rPr>
        <w:t>Water</w:t>
      </w:r>
      <w:r w:rsidRPr="00110A64">
        <w:rPr>
          <w:rFonts w:ascii="Times New Roman" w:hAnsi="Times New Roman" w:cs="Times New Roman"/>
          <w:color w:val="000000"/>
          <w:sz w:val="20"/>
          <w:szCs w:val="20"/>
          <w:shd w:val="clear" w:color="auto" w:fill="FFFFFF"/>
        </w:rPr>
        <w:t>, </w:t>
      </w:r>
      <w:r w:rsidRPr="00110A64">
        <w:rPr>
          <w:rStyle w:val="Emphasis"/>
          <w:rFonts w:ascii="Times New Roman" w:hAnsi="Times New Roman" w:cs="Times New Roman"/>
          <w:color w:val="000000"/>
          <w:sz w:val="20"/>
          <w:szCs w:val="20"/>
          <w:shd w:val="clear" w:color="auto" w:fill="FFFFFF"/>
        </w:rPr>
        <w:t>12</w:t>
      </w:r>
      <w:r w:rsidRPr="00110A64">
        <w:rPr>
          <w:rFonts w:ascii="Times New Roman" w:hAnsi="Times New Roman" w:cs="Times New Roman"/>
          <w:color w:val="000000"/>
          <w:sz w:val="20"/>
          <w:szCs w:val="20"/>
          <w:shd w:val="clear" w:color="auto" w:fill="FFFFFF"/>
        </w:rPr>
        <w:t xml:space="preserve">(2), 363. </w:t>
      </w:r>
    </w:p>
    <w:p w14:paraId="46DF0C06" w14:textId="77777777" w:rsidR="00F122B3" w:rsidRDefault="00F122B3" w:rsidP="009F5BBE">
      <w:pPr>
        <w:spacing w:line="480" w:lineRule="auto"/>
        <w:ind w:left="720" w:hanging="720"/>
        <w:jc w:val="both"/>
        <w:rPr>
          <w:rFonts w:ascii="Times New Roman" w:hAnsi="Times New Roman" w:cs="Times New Roman"/>
          <w:color w:val="000000"/>
          <w:sz w:val="20"/>
          <w:szCs w:val="20"/>
          <w:shd w:val="clear" w:color="auto" w:fill="FFFFFF"/>
        </w:rPr>
      </w:pPr>
      <w:r w:rsidRPr="000B2363">
        <w:rPr>
          <w:rFonts w:ascii="Times New Roman" w:hAnsi="Times New Roman" w:cs="Times New Roman"/>
          <w:color w:val="000000"/>
          <w:sz w:val="20"/>
          <w:szCs w:val="20"/>
          <w:shd w:val="clear" w:color="auto" w:fill="FFFFFF"/>
        </w:rPr>
        <w:t xml:space="preserve">Escobar, M., Huber-Lee, A., Sieber, J., Young, C., Doreen, S., and Brian, J. (2023). WEAP (Water evaluation and planning system): A tool for sustainable water analysis. </w:t>
      </w:r>
    </w:p>
    <w:p w14:paraId="75DD2109" w14:textId="77777777" w:rsidR="00F122B3" w:rsidRPr="00424183" w:rsidRDefault="00F122B3" w:rsidP="009F5BBE">
      <w:pPr>
        <w:spacing w:line="480" w:lineRule="auto"/>
        <w:ind w:left="720" w:hanging="720"/>
        <w:jc w:val="both"/>
        <w:rPr>
          <w:rFonts w:ascii="Times New Roman" w:hAnsi="Times New Roman" w:cs="Times New Roman"/>
          <w:sz w:val="20"/>
          <w:szCs w:val="20"/>
        </w:rPr>
      </w:pPr>
      <w:r w:rsidRPr="00424183">
        <w:rPr>
          <w:rFonts w:ascii="Times New Roman" w:hAnsi="Times New Roman" w:cs="Times New Roman"/>
          <w:color w:val="000000"/>
          <w:sz w:val="20"/>
          <w:szCs w:val="20"/>
          <w:shd w:val="clear" w:color="auto" w:fill="FFFFFF"/>
        </w:rPr>
        <w:t>Gupta, A., and Govindaraju, R. (2019). Propagation of structural uncertainty in watershed hydrologic models. </w:t>
      </w:r>
      <w:r w:rsidRPr="00424183">
        <w:rPr>
          <w:rStyle w:val="Emphasis"/>
          <w:rFonts w:ascii="Times New Roman" w:hAnsi="Times New Roman" w:cs="Times New Roman"/>
          <w:color w:val="000000"/>
          <w:sz w:val="20"/>
          <w:szCs w:val="20"/>
          <w:shd w:val="clear" w:color="auto" w:fill="FFFFFF"/>
        </w:rPr>
        <w:t>Journal of Hydrology</w:t>
      </w:r>
      <w:r w:rsidRPr="00424183">
        <w:rPr>
          <w:rFonts w:ascii="Times New Roman" w:hAnsi="Times New Roman" w:cs="Times New Roman"/>
          <w:color w:val="000000"/>
          <w:sz w:val="20"/>
          <w:szCs w:val="20"/>
          <w:shd w:val="clear" w:color="auto" w:fill="FFFFFF"/>
        </w:rPr>
        <w:t>, </w:t>
      </w:r>
      <w:r w:rsidRPr="00424183">
        <w:rPr>
          <w:rStyle w:val="Emphasis"/>
          <w:rFonts w:ascii="Times New Roman" w:hAnsi="Times New Roman" w:cs="Times New Roman"/>
          <w:color w:val="000000"/>
          <w:sz w:val="20"/>
          <w:szCs w:val="20"/>
          <w:shd w:val="clear" w:color="auto" w:fill="FFFFFF"/>
        </w:rPr>
        <w:t>575</w:t>
      </w:r>
      <w:r w:rsidRPr="00424183">
        <w:rPr>
          <w:rFonts w:ascii="Times New Roman" w:hAnsi="Times New Roman" w:cs="Times New Roman"/>
          <w:color w:val="000000"/>
          <w:sz w:val="20"/>
          <w:szCs w:val="20"/>
          <w:shd w:val="clear" w:color="auto" w:fill="FFFFFF"/>
        </w:rPr>
        <w:t xml:space="preserve">, 66-81. </w:t>
      </w:r>
    </w:p>
    <w:p w14:paraId="6D693AB8" w14:textId="77777777" w:rsidR="00F43B74" w:rsidRDefault="00F43B74" w:rsidP="009F5BBE">
      <w:pPr>
        <w:spacing w:line="480" w:lineRule="auto"/>
        <w:ind w:left="720" w:hanging="720"/>
        <w:jc w:val="both"/>
        <w:rPr>
          <w:rFonts w:ascii="Times New Roman" w:eastAsia="Times New Roman" w:hAnsi="Times New Roman" w:cs="Times New Roman"/>
          <w:color w:val="000000"/>
          <w:sz w:val="20"/>
          <w:szCs w:val="20"/>
        </w:rPr>
      </w:pPr>
      <w:r w:rsidRPr="00BC18BC">
        <w:rPr>
          <w:rFonts w:ascii="Times New Roman" w:eastAsia="Times New Roman" w:hAnsi="Times New Roman" w:cs="Times New Roman"/>
          <w:color w:val="000000"/>
          <w:sz w:val="20"/>
          <w:szCs w:val="20"/>
        </w:rPr>
        <w:t>Lin, F., Chen, X., and Yao, H. (2017). Evaluating the use of Nash-Sutcliffe efficiency coefficient in goodness-of-Fit measures for daily runoff simulation with SWAT. </w:t>
      </w:r>
      <w:r w:rsidRPr="00BC18BC">
        <w:rPr>
          <w:rFonts w:ascii="Times New Roman" w:eastAsia="Times New Roman" w:hAnsi="Times New Roman" w:cs="Times New Roman"/>
          <w:i/>
          <w:iCs/>
          <w:color w:val="000000"/>
          <w:sz w:val="20"/>
          <w:szCs w:val="20"/>
        </w:rPr>
        <w:t>Journal of Hydrologic Engineering</w:t>
      </w:r>
      <w:r w:rsidRPr="00BC18BC">
        <w:rPr>
          <w:rFonts w:ascii="Times New Roman" w:eastAsia="Times New Roman" w:hAnsi="Times New Roman" w:cs="Times New Roman"/>
          <w:color w:val="000000"/>
          <w:sz w:val="20"/>
          <w:szCs w:val="20"/>
        </w:rPr>
        <w:t>, </w:t>
      </w:r>
      <w:r w:rsidRPr="00BC18BC">
        <w:rPr>
          <w:rFonts w:ascii="Times New Roman" w:eastAsia="Times New Roman" w:hAnsi="Times New Roman" w:cs="Times New Roman"/>
          <w:i/>
          <w:iCs/>
          <w:color w:val="000000"/>
          <w:sz w:val="20"/>
          <w:szCs w:val="20"/>
        </w:rPr>
        <w:t>22</w:t>
      </w:r>
      <w:r w:rsidRPr="00BC18BC">
        <w:rPr>
          <w:rFonts w:ascii="Times New Roman" w:eastAsia="Times New Roman" w:hAnsi="Times New Roman" w:cs="Times New Roman"/>
          <w:color w:val="000000"/>
          <w:sz w:val="20"/>
          <w:szCs w:val="20"/>
        </w:rPr>
        <w:t>(11).</w:t>
      </w:r>
    </w:p>
    <w:p w14:paraId="78FE9EF9" w14:textId="77777777" w:rsidR="00F43B74" w:rsidRDefault="00F43B74" w:rsidP="00AB24E6">
      <w:pPr>
        <w:spacing w:line="480" w:lineRule="auto"/>
        <w:ind w:left="720" w:hanging="720"/>
        <w:jc w:val="both"/>
        <w:rPr>
          <w:rFonts w:ascii="Times New Roman" w:eastAsia="Times New Roman" w:hAnsi="Times New Roman" w:cs="Times New Roman"/>
          <w:color w:val="000000"/>
          <w:sz w:val="20"/>
          <w:szCs w:val="20"/>
        </w:rPr>
      </w:pPr>
      <w:r w:rsidRPr="00624B1B">
        <w:rPr>
          <w:rFonts w:ascii="Times New Roman" w:eastAsia="Times New Roman" w:hAnsi="Times New Roman" w:cs="Times New Roman"/>
          <w:color w:val="000000"/>
          <w:sz w:val="20"/>
          <w:szCs w:val="20"/>
        </w:rPr>
        <w:t xml:space="preserve">Maforikan, E. S., Hammani, A., Ahouansou, M. D., and Anthony-Krueger, C. (2023). Estimating water balance at Beterou watershed, Benin using soil and water assessment tool (SWAT) model. </w:t>
      </w:r>
    </w:p>
    <w:p w14:paraId="5B25B9A8" w14:textId="77777777" w:rsidR="00F43B74" w:rsidRPr="004C5BB7" w:rsidRDefault="00F43B74" w:rsidP="00F43B74">
      <w:pPr>
        <w:spacing w:after="0" w:line="480" w:lineRule="auto"/>
        <w:ind w:left="720" w:hanging="720"/>
        <w:jc w:val="both"/>
        <w:rPr>
          <w:rFonts w:ascii="Times New Roman" w:hAnsi="Times New Roman" w:cs="Times New Roman"/>
          <w:sz w:val="20"/>
          <w:szCs w:val="20"/>
        </w:rPr>
      </w:pPr>
      <w:r w:rsidRPr="004C5BB7">
        <w:rPr>
          <w:rFonts w:ascii="Times New Roman" w:hAnsi="Times New Roman" w:cs="Times New Roman"/>
          <w:sz w:val="20"/>
          <w:szCs w:val="20"/>
        </w:rPr>
        <w:t xml:space="preserve">Mungai, A. (2017). A framework for investigating the potential to explore new markets in smallholder farmers in Kenya’s Kiambu west district. </w:t>
      </w:r>
    </w:p>
    <w:p w14:paraId="51503DF8" w14:textId="77777777" w:rsidR="00F43B74" w:rsidRPr="00F969C2" w:rsidRDefault="00F43B74" w:rsidP="00A12BF5">
      <w:pPr>
        <w:spacing w:after="0" w:line="480" w:lineRule="auto"/>
        <w:ind w:left="720" w:hanging="720"/>
        <w:jc w:val="both"/>
        <w:rPr>
          <w:rFonts w:ascii="Times New Roman" w:hAnsi="Times New Roman" w:cs="Times New Roman"/>
          <w:i/>
          <w:iCs/>
          <w:sz w:val="20"/>
          <w:szCs w:val="20"/>
        </w:rPr>
      </w:pPr>
      <w:r w:rsidRPr="00A12BF5">
        <w:rPr>
          <w:rFonts w:ascii="Times New Roman" w:hAnsi="Times New Roman" w:cs="Times New Roman"/>
          <w:sz w:val="20"/>
          <w:szCs w:val="20"/>
        </w:rPr>
        <w:t>Nachtergaele, F. O. (2002). The future of the FAO legend and the FAO/UNESCO soil map of the world</w:t>
      </w:r>
      <w:r w:rsidRPr="00F969C2">
        <w:rPr>
          <w:rFonts w:ascii="Times New Roman" w:hAnsi="Times New Roman" w:cs="Times New Roman"/>
          <w:i/>
          <w:iCs/>
          <w:sz w:val="20"/>
          <w:szCs w:val="20"/>
        </w:rPr>
        <w:t xml:space="preserve">. </w:t>
      </w:r>
      <w:r w:rsidRPr="00F969C2">
        <w:rPr>
          <w:rStyle w:val="BalloonTextChar"/>
          <w:rFonts w:ascii="Times New Roman" w:eastAsiaTheme="majorEastAsia" w:hAnsi="Times New Roman" w:cs="Times New Roman"/>
          <w:i/>
          <w:iCs/>
          <w:sz w:val="20"/>
          <w:szCs w:val="20"/>
        </w:rPr>
        <w:t>Soil Classification</w:t>
      </w:r>
      <w:r w:rsidRPr="00F969C2">
        <w:rPr>
          <w:rFonts w:ascii="Times New Roman" w:hAnsi="Times New Roman" w:cs="Times New Roman"/>
          <w:i/>
          <w:iCs/>
          <w:sz w:val="20"/>
          <w:szCs w:val="20"/>
        </w:rPr>
        <w:t xml:space="preserve">, 147-156. </w:t>
      </w:r>
    </w:p>
    <w:p w14:paraId="231A071A" w14:textId="77777777" w:rsidR="00F969C2" w:rsidRDefault="00F969C2" w:rsidP="009F5BBE">
      <w:pPr>
        <w:spacing w:after="0" w:line="480" w:lineRule="auto"/>
        <w:ind w:left="720" w:hanging="720"/>
        <w:jc w:val="both"/>
        <w:rPr>
          <w:rFonts w:ascii="Times New Roman" w:hAnsi="Times New Roman" w:cs="Times New Roman"/>
          <w:sz w:val="20"/>
          <w:szCs w:val="20"/>
        </w:rPr>
      </w:pPr>
      <w:r w:rsidRPr="004E7281">
        <w:rPr>
          <w:rFonts w:ascii="Times New Roman" w:hAnsi="Times New Roman" w:cs="Times New Roman"/>
          <w:sz w:val="20"/>
          <w:szCs w:val="20"/>
        </w:rPr>
        <w:t xml:space="preserve">Neitsch, S., L., Arnold, J., R. Kiniry, and Williams, J., R. (2011). User Manual of Soil and Water Assessment tool, theoretical documentation Version 2009. </w:t>
      </w:r>
      <w:r w:rsidRPr="00F969C2">
        <w:rPr>
          <w:rFonts w:ascii="Times New Roman" w:hAnsi="Times New Roman" w:cs="Times New Roman"/>
          <w:i/>
          <w:iCs/>
          <w:sz w:val="20"/>
          <w:szCs w:val="20"/>
        </w:rPr>
        <w:t>Grassland, Soil and Water Research Laboratory, Blackland Research Centre, Texas, AgriLife 145 Research</w:t>
      </w:r>
      <w:r>
        <w:rPr>
          <w:rFonts w:ascii="Times New Roman" w:hAnsi="Times New Roman" w:cs="Times New Roman"/>
          <w:sz w:val="20"/>
          <w:szCs w:val="20"/>
        </w:rPr>
        <w:t>.</w:t>
      </w:r>
    </w:p>
    <w:p w14:paraId="5155359B" w14:textId="23A11A1F" w:rsidR="00AB24E6" w:rsidRDefault="00AB24E6" w:rsidP="009F5BBE">
      <w:pPr>
        <w:spacing w:line="480" w:lineRule="auto"/>
        <w:ind w:left="720" w:hanging="720"/>
        <w:jc w:val="both"/>
        <w:rPr>
          <w:rFonts w:ascii="Times New Roman" w:hAnsi="Times New Roman" w:cs="Times New Roman"/>
          <w:color w:val="000000"/>
          <w:sz w:val="20"/>
          <w:szCs w:val="20"/>
          <w:shd w:val="clear" w:color="auto" w:fill="FFFFFF"/>
        </w:rPr>
      </w:pPr>
      <w:r w:rsidRPr="00710A8B">
        <w:rPr>
          <w:rFonts w:ascii="Times New Roman" w:hAnsi="Times New Roman" w:cs="Times New Roman"/>
          <w:color w:val="000000"/>
          <w:sz w:val="20"/>
          <w:szCs w:val="20"/>
          <w:shd w:val="clear" w:color="auto" w:fill="FFFFFF"/>
        </w:rPr>
        <w:t xml:space="preserve">Okello, C., Antonellini, M., Greggio, N., </w:t>
      </w:r>
      <w:r>
        <w:rPr>
          <w:rFonts w:ascii="Times New Roman" w:hAnsi="Times New Roman" w:cs="Times New Roman"/>
          <w:color w:val="000000"/>
          <w:sz w:val="20"/>
          <w:szCs w:val="20"/>
          <w:shd w:val="clear" w:color="auto" w:fill="FFFFFF"/>
        </w:rPr>
        <w:t>and</w:t>
      </w:r>
      <w:r w:rsidRPr="00710A8B">
        <w:rPr>
          <w:rFonts w:ascii="Times New Roman" w:hAnsi="Times New Roman" w:cs="Times New Roman"/>
          <w:color w:val="000000"/>
          <w:sz w:val="20"/>
          <w:szCs w:val="20"/>
          <w:shd w:val="clear" w:color="auto" w:fill="FFFFFF"/>
        </w:rPr>
        <w:t xml:space="preserve"> Wambiji, N. (2014). Freshwater resource characterization and vulnerability to climate change of the Shela aquifer in Lamu, Kenya. </w:t>
      </w:r>
      <w:r w:rsidRPr="00710A8B">
        <w:rPr>
          <w:rStyle w:val="Emphasis"/>
          <w:rFonts w:ascii="Times New Roman" w:hAnsi="Times New Roman" w:cs="Times New Roman"/>
          <w:color w:val="000000"/>
          <w:sz w:val="20"/>
          <w:szCs w:val="20"/>
          <w:shd w:val="clear" w:color="auto" w:fill="FFFFFF"/>
        </w:rPr>
        <w:t>Environmental Earth Sciences</w:t>
      </w:r>
      <w:r w:rsidRPr="00710A8B">
        <w:rPr>
          <w:rFonts w:ascii="Times New Roman" w:hAnsi="Times New Roman" w:cs="Times New Roman"/>
          <w:color w:val="000000"/>
          <w:sz w:val="20"/>
          <w:szCs w:val="20"/>
          <w:shd w:val="clear" w:color="auto" w:fill="FFFFFF"/>
        </w:rPr>
        <w:t>, </w:t>
      </w:r>
      <w:r w:rsidRPr="00710A8B">
        <w:rPr>
          <w:rStyle w:val="Emphasis"/>
          <w:rFonts w:ascii="Times New Roman" w:hAnsi="Times New Roman" w:cs="Times New Roman"/>
          <w:color w:val="000000"/>
          <w:sz w:val="20"/>
          <w:szCs w:val="20"/>
          <w:shd w:val="clear" w:color="auto" w:fill="FFFFFF"/>
        </w:rPr>
        <w:t>73</w:t>
      </w:r>
      <w:r w:rsidRPr="00710A8B">
        <w:rPr>
          <w:rFonts w:ascii="Times New Roman" w:hAnsi="Times New Roman" w:cs="Times New Roman"/>
          <w:color w:val="000000"/>
          <w:sz w:val="20"/>
          <w:szCs w:val="20"/>
          <w:shd w:val="clear" w:color="auto" w:fill="FFFFFF"/>
        </w:rPr>
        <w:t>(7), 3801-3817.</w:t>
      </w:r>
    </w:p>
    <w:p w14:paraId="4CF64F87" w14:textId="77777777" w:rsidR="00AB24E6" w:rsidRDefault="00AB24E6" w:rsidP="009F5BBE">
      <w:pPr>
        <w:spacing w:after="0" w:line="480" w:lineRule="auto"/>
        <w:ind w:left="720" w:hanging="720"/>
        <w:jc w:val="both"/>
        <w:rPr>
          <w:rFonts w:ascii="Times New Roman" w:hAnsi="Times New Roman" w:cs="Times New Roman"/>
          <w:color w:val="000000"/>
          <w:sz w:val="20"/>
          <w:szCs w:val="20"/>
          <w:shd w:val="clear" w:color="auto" w:fill="FFFFFF"/>
        </w:rPr>
      </w:pPr>
      <w:r w:rsidRPr="00C2453B">
        <w:rPr>
          <w:rFonts w:ascii="Times New Roman" w:hAnsi="Times New Roman" w:cs="Times New Roman"/>
          <w:color w:val="000000"/>
          <w:sz w:val="20"/>
          <w:szCs w:val="20"/>
          <w:shd w:val="clear" w:color="auto" w:fill="FFFFFF"/>
        </w:rPr>
        <w:lastRenderedPageBreak/>
        <w:t xml:space="preserve">Olivera, F., Valenzuela, M., </w:t>
      </w:r>
      <w:r>
        <w:rPr>
          <w:rFonts w:ascii="Times New Roman" w:hAnsi="Times New Roman" w:cs="Times New Roman"/>
          <w:color w:val="000000"/>
          <w:sz w:val="20"/>
          <w:szCs w:val="20"/>
          <w:shd w:val="clear" w:color="auto" w:fill="FFFFFF"/>
        </w:rPr>
        <w:t>and</w:t>
      </w:r>
      <w:r w:rsidRPr="00C2453B">
        <w:rPr>
          <w:rFonts w:ascii="Times New Roman" w:hAnsi="Times New Roman" w:cs="Times New Roman"/>
          <w:color w:val="000000"/>
          <w:sz w:val="20"/>
          <w:szCs w:val="20"/>
          <w:shd w:val="clear" w:color="auto" w:fill="FFFFFF"/>
        </w:rPr>
        <w:t xml:space="preserve"> Srinivasan, R. (2004). ArcGIS-SWAT: A GIS interface for the soil and water assessment tool (SWAT). </w:t>
      </w:r>
      <w:r w:rsidRPr="00C2453B">
        <w:rPr>
          <w:rStyle w:val="Emphasis"/>
          <w:rFonts w:ascii="Times New Roman" w:hAnsi="Times New Roman" w:cs="Times New Roman"/>
          <w:color w:val="000000"/>
          <w:sz w:val="20"/>
          <w:szCs w:val="20"/>
          <w:shd w:val="clear" w:color="auto" w:fill="FFFFFF"/>
        </w:rPr>
        <w:t>Critical Transitions in Water and Environmental Resources Management</w:t>
      </w:r>
      <w:r w:rsidRPr="00C2453B">
        <w:rPr>
          <w:rFonts w:ascii="Times New Roman" w:hAnsi="Times New Roman" w:cs="Times New Roman"/>
          <w:color w:val="000000"/>
          <w:sz w:val="20"/>
          <w:szCs w:val="20"/>
          <w:shd w:val="clear" w:color="auto" w:fill="FFFFFF"/>
        </w:rPr>
        <w:t>, </w:t>
      </w:r>
    </w:p>
    <w:p w14:paraId="2055CE2E" w14:textId="77777777" w:rsidR="00AB24E6" w:rsidRDefault="00AB24E6" w:rsidP="009F5BBE">
      <w:pPr>
        <w:pStyle w:val="NormalWeb"/>
        <w:spacing w:before="0" w:after="0" w:line="480" w:lineRule="auto"/>
        <w:ind w:left="720" w:hanging="720"/>
        <w:rPr>
          <w:sz w:val="20"/>
          <w:szCs w:val="20"/>
        </w:rPr>
      </w:pPr>
      <w:r>
        <w:rPr>
          <w:sz w:val="20"/>
          <w:szCs w:val="20"/>
        </w:rPr>
        <w:t xml:space="preserve">Poblete, D., Arévalo, J., Nicolis, O., and Figueroa, F. (2020). Optimization of the hydrologic response units (HRU) using gridded meteorological data and spatially varying parameters. </w:t>
      </w:r>
    </w:p>
    <w:p w14:paraId="16D36FEA" w14:textId="77777777" w:rsidR="00AB24E6" w:rsidRPr="00EC6326" w:rsidRDefault="00AB24E6" w:rsidP="00F122B3">
      <w:pPr>
        <w:spacing w:after="0" w:line="480" w:lineRule="auto"/>
        <w:ind w:left="720" w:hanging="720"/>
        <w:jc w:val="both"/>
        <w:rPr>
          <w:rFonts w:ascii="Times New Roman" w:eastAsia="Times New Roman" w:hAnsi="Times New Roman" w:cs="Times New Roman"/>
          <w:color w:val="0E101A"/>
          <w:sz w:val="20"/>
          <w:szCs w:val="20"/>
        </w:rPr>
      </w:pPr>
      <w:r w:rsidRPr="00EC6326">
        <w:rPr>
          <w:rFonts w:ascii="Times New Roman" w:hAnsi="Times New Roman" w:cs="Times New Roman"/>
          <w:color w:val="000000"/>
          <w:sz w:val="20"/>
          <w:szCs w:val="20"/>
          <w:shd w:val="clear" w:color="auto" w:fill="FFFFFF"/>
        </w:rPr>
        <w:t>Ruey Luo, E. C. (2017). Water supply-demand: Quantity, quality and price of the water conjunctive use. </w:t>
      </w:r>
      <w:r w:rsidRPr="00EC6326">
        <w:rPr>
          <w:rStyle w:val="Emphasis"/>
          <w:rFonts w:ascii="Times New Roman" w:hAnsi="Times New Roman" w:cs="Times New Roman"/>
          <w:color w:val="000000"/>
          <w:sz w:val="20"/>
          <w:szCs w:val="20"/>
          <w:shd w:val="clear" w:color="auto" w:fill="FFFFFF"/>
        </w:rPr>
        <w:t>International Journal of Hydrology</w:t>
      </w:r>
      <w:r w:rsidRPr="00EC6326">
        <w:rPr>
          <w:rFonts w:ascii="Times New Roman" w:hAnsi="Times New Roman" w:cs="Times New Roman"/>
          <w:color w:val="000000"/>
          <w:sz w:val="20"/>
          <w:szCs w:val="20"/>
          <w:shd w:val="clear" w:color="auto" w:fill="FFFFFF"/>
        </w:rPr>
        <w:t>, </w:t>
      </w:r>
      <w:r w:rsidRPr="00EC6326">
        <w:rPr>
          <w:rStyle w:val="Emphasis"/>
          <w:rFonts w:ascii="Times New Roman" w:hAnsi="Times New Roman" w:cs="Times New Roman"/>
          <w:color w:val="000000"/>
          <w:sz w:val="20"/>
          <w:szCs w:val="20"/>
          <w:shd w:val="clear" w:color="auto" w:fill="FFFFFF"/>
        </w:rPr>
        <w:t>1</w:t>
      </w:r>
      <w:r w:rsidRPr="00EC6326">
        <w:rPr>
          <w:rFonts w:ascii="Times New Roman" w:hAnsi="Times New Roman" w:cs="Times New Roman"/>
          <w:color w:val="000000"/>
          <w:sz w:val="20"/>
          <w:szCs w:val="20"/>
          <w:shd w:val="clear" w:color="auto" w:fill="FFFFFF"/>
        </w:rPr>
        <w:t xml:space="preserve">(7). </w:t>
      </w:r>
    </w:p>
    <w:p w14:paraId="48791622" w14:textId="77777777" w:rsidR="00AB24E6" w:rsidRDefault="00AB24E6" w:rsidP="00AB24E6">
      <w:pPr>
        <w:spacing w:after="0" w:line="480" w:lineRule="auto"/>
        <w:ind w:left="720" w:hanging="720"/>
        <w:jc w:val="both"/>
        <w:rPr>
          <w:rFonts w:ascii="Times New Roman" w:hAnsi="Times New Roman" w:cs="Times New Roman"/>
          <w:color w:val="000000"/>
          <w:sz w:val="20"/>
          <w:szCs w:val="20"/>
          <w:shd w:val="clear" w:color="auto" w:fill="FFFFFF"/>
        </w:rPr>
      </w:pPr>
      <w:r w:rsidRPr="005C166B">
        <w:rPr>
          <w:rFonts w:ascii="Times New Roman" w:hAnsi="Times New Roman" w:cs="Times New Roman"/>
          <w:color w:val="000000"/>
          <w:sz w:val="20"/>
          <w:szCs w:val="20"/>
          <w:shd w:val="clear" w:color="auto" w:fill="FFFFFF"/>
        </w:rPr>
        <w:t>Sarkar, A. (2022). Access to affordable, safe water supply in urban Kenya: A macro analysis. </w:t>
      </w:r>
      <w:r w:rsidRPr="005C166B">
        <w:rPr>
          <w:rStyle w:val="Emphasis"/>
          <w:rFonts w:ascii="Times New Roman" w:hAnsi="Times New Roman" w:cs="Times New Roman"/>
          <w:color w:val="000000"/>
          <w:sz w:val="20"/>
          <w:szCs w:val="20"/>
          <w:shd w:val="clear" w:color="auto" w:fill="FFFFFF"/>
        </w:rPr>
        <w:t>Water Insecurity and Water Governance in Urban Kenya</w:t>
      </w:r>
      <w:r w:rsidRPr="005C166B">
        <w:rPr>
          <w:rFonts w:ascii="Times New Roman" w:hAnsi="Times New Roman" w:cs="Times New Roman"/>
          <w:color w:val="000000"/>
          <w:sz w:val="20"/>
          <w:szCs w:val="20"/>
          <w:shd w:val="clear" w:color="auto" w:fill="FFFFFF"/>
        </w:rPr>
        <w:t xml:space="preserve">, 63-89. </w:t>
      </w:r>
    </w:p>
    <w:p w14:paraId="6853040B" w14:textId="77777777" w:rsidR="00AB24E6" w:rsidRDefault="00AB24E6" w:rsidP="00AB24E6">
      <w:pPr>
        <w:spacing w:after="0" w:line="480" w:lineRule="auto"/>
        <w:ind w:left="720" w:hanging="720"/>
        <w:jc w:val="both"/>
        <w:rPr>
          <w:rFonts w:ascii="Times New Roman" w:eastAsia="Times New Roman" w:hAnsi="Times New Roman" w:cs="Times New Roman"/>
          <w:color w:val="000000"/>
          <w:sz w:val="20"/>
          <w:szCs w:val="20"/>
        </w:rPr>
      </w:pPr>
      <w:r w:rsidRPr="00AB24E6">
        <w:rPr>
          <w:rFonts w:ascii="Times New Roman" w:eastAsia="Times New Roman" w:hAnsi="Times New Roman" w:cs="Times New Roman"/>
          <w:color w:val="000000"/>
          <w:sz w:val="20"/>
          <w:szCs w:val="20"/>
        </w:rPr>
        <w:t xml:space="preserve">Sharma, I., Mishra, S., </w:t>
      </w:r>
      <w:r w:rsidRPr="00AB24E6">
        <w:rPr>
          <w:rFonts w:ascii="Times New Roman" w:eastAsia="Times New Roman" w:hAnsi="Times New Roman" w:cs="Times New Roman"/>
          <w:color w:val="000000"/>
          <w:sz w:val="20"/>
          <w:szCs w:val="20"/>
        </w:rPr>
        <w:t xml:space="preserve">and </w:t>
      </w:r>
      <w:r w:rsidRPr="00AB24E6">
        <w:rPr>
          <w:rFonts w:ascii="Times New Roman" w:eastAsia="Times New Roman" w:hAnsi="Times New Roman" w:cs="Times New Roman"/>
          <w:color w:val="000000"/>
          <w:sz w:val="20"/>
          <w:szCs w:val="20"/>
        </w:rPr>
        <w:t xml:space="preserve">Pandey, A. (2020). Estimation of antecedent soil moisture using soil conservation service curve number (SCS-CN) method utilizing the experimental data of a small Indian watershed. </w:t>
      </w:r>
    </w:p>
    <w:p w14:paraId="53CF1733" w14:textId="77777777" w:rsidR="00AB24E6" w:rsidRPr="000E4803" w:rsidRDefault="00AB24E6" w:rsidP="009F5BBE">
      <w:pPr>
        <w:spacing w:after="0" w:line="480" w:lineRule="auto"/>
        <w:ind w:left="720" w:hanging="720"/>
        <w:jc w:val="both"/>
        <w:rPr>
          <w:rFonts w:ascii="Times New Roman" w:hAnsi="Times New Roman" w:cs="Times New Roman"/>
          <w:sz w:val="20"/>
          <w:szCs w:val="20"/>
        </w:rPr>
      </w:pPr>
      <w:r w:rsidRPr="000E4803">
        <w:rPr>
          <w:rFonts w:ascii="Times New Roman" w:hAnsi="Times New Roman" w:cs="Times New Roman"/>
          <w:color w:val="000000"/>
          <w:sz w:val="20"/>
          <w:szCs w:val="20"/>
          <w:shd w:val="clear" w:color="auto" w:fill="FFFFFF"/>
        </w:rPr>
        <w:t xml:space="preserve">Srinivasan, R., Ramanarayanan, T. S., Arnold, J. G., </w:t>
      </w:r>
      <w:r>
        <w:rPr>
          <w:rFonts w:ascii="Times New Roman" w:hAnsi="Times New Roman" w:cs="Times New Roman"/>
          <w:color w:val="000000"/>
          <w:sz w:val="20"/>
          <w:szCs w:val="20"/>
          <w:shd w:val="clear" w:color="auto" w:fill="FFFFFF"/>
        </w:rPr>
        <w:t>and</w:t>
      </w:r>
      <w:r w:rsidRPr="000E4803">
        <w:rPr>
          <w:rFonts w:ascii="Times New Roman" w:hAnsi="Times New Roman" w:cs="Times New Roman"/>
          <w:color w:val="000000"/>
          <w:sz w:val="20"/>
          <w:szCs w:val="20"/>
          <w:shd w:val="clear" w:color="auto" w:fill="FFFFFF"/>
        </w:rPr>
        <w:t xml:space="preserve"> Bednarz, S. T. (1998). Large area hydrologic modeling and assessment part II: Model APPLICATION. </w:t>
      </w:r>
      <w:r w:rsidRPr="000E4803">
        <w:rPr>
          <w:rStyle w:val="Emphasis"/>
          <w:rFonts w:ascii="Times New Roman" w:hAnsi="Times New Roman" w:cs="Times New Roman"/>
          <w:color w:val="000000"/>
          <w:sz w:val="20"/>
          <w:szCs w:val="20"/>
          <w:shd w:val="clear" w:color="auto" w:fill="FFFFFF"/>
        </w:rPr>
        <w:t>JAWRA Journal of the American Water Resources Association</w:t>
      </w:r>
      <w:r w:rsidRPr="000E4803">
        <w:rPr>
          <w:rFonts w:ascii="Times New Roman" w:hAnsi="Times New Roman" w:cs="Times New Roman"/>
          <w:color w:val="000000"/>
          <w:sz w:val="20"/>
          <w:szCs w:val="20"/>
          <w:shd w:val="clear" w:color="auto" w:fill="FFFFFF"/>
        </w:rPr>
        <w:t>, </w:t>
      </w:r>
      <w:r w:rsidRPr="000E4803">
        <w:rPr>
          <w:rStyle w:val="Emphasis"/>
          <w:rFonts w:ascii="Times New Roman" w:hAnsi="Times New Roman" w:cs="Times New Roman"/>
          <w:color w:val="000000"/>
          <w:sz w:val="20"/>
          <w:szCs w:val="20"/>
          <w:shd w:val="clear" w:color="auto" w:fill="FFFFFF"/>
        </w:rPr>
        <w:t>34</w:t>
      </w:r>
      <w:r w:rsidRPr="000E4803">
        <w:rPr>
          <w:rFonts w:ascii="Times New Roman" w:hAnsi="Times New Roman" w:cs="Times New Roman"/>
          <w:color w:val="000000"/>
          <w:sz w:val="20"/>
          <w:szCs w:val="20"/>
          <w:shd w:val="clear" w:color="auto" w:fill="FFFFFF"/>
        </w:rPr>
        <w:t>(1), 91-101.</w:t>
      </w:r>
    </w:p>
    <w:p w14:paraId="4AB9ED5F" w14:textId="77777777" w:rsidR="00AB24E6" w:rsidRDefault="00AB24E6" w:rsidP="009F5BBE">
      <w:pPr>
        <w:spacing w:after="0" w:line="480" w:lineRule="auto"/>
        <w:ind w:left="720" w:hanging="720"/>
        <w:jc w:val="both"/>
        <w:rPr>
          <w:rFonts w:ascii="Times New Roman" w:hAnsi="Times New Roman" w:cs="Times New Roman"/>
          <w:color w:val="000000"/>
          <w:sz w:val="20"/>
          <w:szCs w:val="20"/>
          <w:shd w:val="clear" w:color="auto" w:fill="FFFFFF"/>
        </w:rPr>
      </w:pPr>
      <w:r w:rsidRPr="005D34BB">
        <w:rPr>
          <w:rFonts w:ascii="Times New Roman" w:hAnsi="Times New Roman" w:cs="Times New Roman"/>
          <w:color w:val="000000"/>
          <w:sz w:val="20"/>
          <w:szCs w:val="20"/>
          <w:shd w:val="clear" w:color="auto" w:fill="FFFFFF"/>
        </w:rPr>
        <w:t>Strauch, M., and Volk, M. (2013). SWAT plant growth modification for improved modeling of perennial vegetation in the tropics. </w:t>
      </w:r>
      <w:r w:rsidRPr="005D34BB">
        <w:rPr>
          <w:rStyle w:val="Emphasis"/>
          <w:rFonts w:ascii="Times New Roman" w:hAnsi="Times New Roman" w:cs="Times New Roman"/>
          <w:color w:val="000000"/>
          <w:sz w:val="20"/>
          <w:szCs w:val="20"/>
          <w:shd w:val="clear" w:color="auto" w:fill="FFFFFF"/>
        </w:rPr>
        <w:t>Ecological Modelling</w:t>
      </w:r>
      <w:r w:rsidRPr="005D34BB">
        <w:rPr>
          <w:rFonts w:ascii="Times New Roman" w:hAnsi="Times New Roman" w:cs="Times New Roman"/>
          <w:color w:val="000000"/>
          <w:sz w:val="20"/>
          <w:szCs w:val="20"/>
          <w:shd w:val="clear" w:color="auto" w:fill="FFFFFF"/>
        </w:rPr>
        <w:t>, </w:t>
      </w:r>
      <w:r w:rsidRPr="005D34BB">
        <w:rPr>
          <w:rStyle w:val="Emphasis"/>
          <w:rFonts w:ascii="Times New Roman" w:hAnsi="Times New Roman" w:cs="Times New Roman"/>
          <w:color w:val="000000"/>
          <w:sz w:val="20"/>
          <w:szCs w:val="20"/>
          <w:shd w:val="clear" w:color="auto" w:fill="FFFFFF"/>
        </w:rPr>
        <w:t>269</w:t>
      </w:r>
      <w:r w:rsidRPr="005D34BB">
        <w:rPr>
          <w:rFonts w:ascii="Times New Roman" w:hAnsi="Times New Roman" w:cs="Times New Roman"/>
          <w:color w:val="000000"/>
          <w:sz w:val="20"/>
          <w:szCs w:val="20"/>
          <w:shd w:val="clear" w:color="auto" w:fill="FFFFFF"/>
        </w:rPr>
        <w:t xml:space="preserve">, 98-112. </w:t>
      </w:r>
    </w:p>
    <w:p w14:paraId="59D43A4A" w14:textId="77777777" w:rsidR="00AB24E6" w:rsidRPr="00326F51" w:rsidRDefault="00AB24E6" w:rsidP="009F5BBE">
      <w:pPr>
        <w:spacing w:after="0" w:line="480" w:lineRule="auto"/>
        <w:ind w:left="720" w:hanging="720"/>
        <w:jc w:val="both"/>
        <w:rPr>
          <w:rFonts w:ascii="Times New Roman" w:hAnsi="Times New Roman" w:cs="Times New Roman"/>
          <w:color w:val="000000"/>
          <w:sz w:val="20"/>
          <w:szCs w:val="20"/>
        </w:rPr>
      </w:pPr>
      <w:r w:rsidRPr="00326F51">
        <w:rPr>
          <w:rFonts w:ascii="Times New Roman" w:hAnsi="Times New Roman" w:cs="Times New Roman"/>
          <w:color w:val="000000"/>
          <w:sz w:val="20"/>
          <w:szCs w:val="20"/>
        </w:rPr>
        <w:t xml:space="preserve">Tanguy, G., Sichoix, L., and Bouvier, C. (2022). Adapting an event-based, distributed and conceptual model to the hydrological response of small catchments in the island of Tahiti. </w:t>
      </w:r>
    </w:p>
    <w:p w14:paraId="3DCD0E7C" w14:textId="77777777" w:rsidR="00AB24E6" w:rsidRPr="005D0B05" w:rsidRDefault="00AB24E6" w:rsidP="009F5BBE">
      <w:pPr>
        <w:spacing w:after="0" w:line="480" w:lineRule="auto"/>
        <w:ind w:left="720" w:hanging="720"/>
        <w:jc w:val="both"/>
        <w:rPr>
          <w:rFonts w:ascii="Times New Roman" w:hAnsi="Times New Roman" w:cs="Times New Roman"/>
          <w:sz w:val="20"/>
          <w:szCs w:val="20"/>
        </w:rPr>
      </w:pPr>
      <w:r w:rsidRPr="005D0B05">
        <w:rPr>
          <w:rFonts w:ascii="Times New Roman" w:hAnsi="Times New Roman" w:cs="Times New Roman"/>
          <w:color w:val="000000"/>
          <w:sz w:val="20"/>
          <w:szCs w:val="20"/>
          <w:shd w:val="clear" w:color="auto" w:fill="FFFFFF"/>
        </w:rPr>
        <w:t>Ullrich, A., and Volk, M. (2009). Application of the soil and water assessment tool (SWAT) to predict the impact of alternative management practices on water quality and quantity. </w:t>
      </w:r>
      <w:r w:rsidRPr="005D0B05">
        <w:rPr>
          <w:rStyle w:val="Emphasis"/>
          <w:rFonts w:ascii="Times New Roman" w:hAnsi="Times New Roman" w:cs="Times New Roman"/>
          <w:color w:val="000000"/>
          <w:sz w:val="20"/>
          <w:szCs w:val="20"/>
          <w:shd w:val="clear" w:color="auto" w:fill="FFFFFF"/>
        </w:rPr>
        <w:t>Agricultural Water Management</w:t>
      </w:r>
      <w:r w:rsidRPr="005D0B05">
        <w:rPr>
          <w:rFonts w:ascii="Times New Roman" w:hAnsi="Times New Roman" w:cs="Times New Roman"/>
          <w:color w:val="000000"/>
          <w:sz w:val="20"/>
          <w:szCs w:val="20"/>
          <w:shd w:val="clear" w:color="auto" w:fill="FFFFFF"/>
        </w:rPr>
        <w:t>, </w:t>
      </w:r>
      <w:r w:rsidRPr="005D0B05">
        <w:rPr>
          <w:rStyle w:val="Emphasis"/>
          <w:rFonts w:ascii="Times New Roman" w:hAnsi="Times New Roman" w:cs="Times New Roman"/>
          <w:color w:val="000000"/>
          <w:sz w:val="20"/>
          <w:szCs w:val="20"/>
          <w:shd w:val="clear" w:color="auto" w:fill="FFFFFF"/>
        </w:rPr>
        <w:t>96</w:t>
      </w:r>
      <w:r w:rsidRPr="005D0B05">
        <w:rPr>
          <w:rFonts w:ascii="Times New Roman" w:hAnsi="Times New Roman" w:cs="Times New Roman"/>
          <w:color w:val="000000"/>
          <w:sz w:val="20"/>
          <w:szCs w:val="20"/>
          <w:shd w:val="clear" w:color="auto" w:fill="FFFFFF"/>
        </w:rPr>
        <w:t xml:space="preserve">(8), 1207-1217. </w:t>
      </w:r>
    </w:p>
    <w:p w14:paraId="39EC7B8B" w14:textId="77777777" w:rsidR="00E3604C" w:rsidRPr="00E3604C" w:rsidRDefault="00E3604C" w:rsidP="00E3604C">
      <w:pPr>
        <w:spacing w:line="480" w:lineRule="auto"/>
        <w:ind w:left="720" w:hanging="720"/>
        <w:jc w:val="both"/>
        <w:rPr>
          <w:rFonts w:ascii="Times New Roman" w:hAnsi="Times New Roman" w:cs="Times New Roman"/>
          <w:sz w:val="20"/>
          <w:szCs w:val="20"/>
        </w:rPr>
      </w:pPr>
      <w:r w:rsidRPr="00E3604C">
        <w:rPr>
          <w:rFonts w:ascii="Times New Roman" w:hAnsi="Times New Roman" w:cs="Times New Roman"/>
          <w:sz w:val="20"/>
          <w:szCs w:val="20"/>
        </w:rPr>
        <w:t xml:space="preserve">Wambugu, M., Nyandega, I., and Kıthiia, S. (2017). Spatio-temporal dynamics of land use practices on rivers in tropical regions: A case study of Ruiru and Ndarugu basins, Kiambu County, Kenya. </w:t>
      </w:r>
      <w:r w:rsidRPr="00E3604C">
        <w:rPr>
          <w:rStyle w:val="BalloonTextChar"/>
          <w:rFonts w:ascii="Times New Roman" w:eastAsiaTheme="majorEastAsia" w:hAnsi="Times New Roman" w:cs="Times New Roman"/>
          <w:sz w:val="20"/>
          <w:szCs w:val="20"/>
        </w:rPr>
        <w:t>African Journal of Environmental Science and Technology</w:t>
      </w:r>
      <w:r w:rsidRPr="00E3604C">
        <w:rPr>
          <w:rFonts w:ascii="Times New Roman" w:hAnsi="Times New Roman" w:cs="Times New Roman"/>
          <w:sz w:val="20"/>
          <w:szCs w:val="20"/>
        </w:rPr>
        <w:t xml:space="preserve">, </w:t>
      </w:r>
      <w:r w:rsidRPr="00E3604C">
        <w:rPr>
          <w:rStyle w:val="BalloonTextChar"/>
          <w:rFonts w:ascii="Times New Roman" w:eastAsiaTheme="majorEastAsia" w:hAnsi="Times New Roman" w:cs="Times New Roman"/>
          <w:sz w:val="20"/>
          <w:szCs w:val="20"/>
        </w:rPr>
        <w:t>11</w:t>
      </w:r>
      <w:r w:rsidRPr="00E3604C">
        <w:rPr>
          <w:rFonts w:ascii="Times New Roman" w:hAnsi="Times New Roman" w:cs="Times New Roman"/>
          <w:sz w:val="20"/>
          <w:szCs w:val="20"/>
        </w:rPr>
        <w:t>(8), 426-437.</w:t>
      </w:r>
    </w:p>
    <w:p w14:paraId="20D88D97" w14:textId="77777777" w:rsidR="006F0E16" w:rsidRDefault="00E3604C" w:rsidP="006F0E16">
      <w:pPr>
        <w:spacing w:after="0" w:line="480" w:lineRule="auto"/>
        <w:ind w:left="720" w:hanging="720"/>
        <w:jc w:val="both"/>
        <w:rPr>
          <w:rFonts w:ascii="Times New Roman" w:hAnsi="Times New Roman" w:cs="Times New Roman"/>
          <w:color w:val="000000"/>
          <w:sz w:val="20"/>
          <w:szCs w:val="20"/>
          <w:shd w:val="clear" w:color="auto" w:fill="FFFFFF"/>
        </w:rPr>
      </w:pPr>
      <w:r w:rsidRPr="007E03B3">
        <w:rPr>
          <w:rFonts w:ascii="Times New Roman" w:hAnsi="Times New Roman" w:cs="Times New Roman"/>
          <w:color w:val="000000"/>
          <w:sz w:val="20"/>
          <w:szCs w:val="20"/>
          <w:shd w:val="clear" w:color="auto" w:fill="FFFFFF"/>
        </w:rPr>
        <w:t xml:space="preserve">Wang, Y., Zhang, W., </w:t>
      </w:r>
      <w:r>
        <w:rPr>
          <w:rFonts w:ascii="Times New Roman" w:hAnsi="Times New Roman" w:cs="Times New Roman"/>
          <w:color w:val="000000"/>
          <w:sz w:val="20"/>
          <w:szCs w:val="20"/>
          <w:shd w:val="clear" w:color="auto" w:fill="FFFFFF"/>
        </w:rPr>
        <w:t>and</w:t>
      </w:r>
      <w:r w:rsidRPr="007E03B3">
        <w:rPr>
          <w:rFonts w:ascii="Times New Roman" w:hAnsi="Times New Roman" w:cs="Times New Roman"/>
          <w:color w:val="000000"/>
          <w:sz w:val="20"/>
          <w:szCs w:val="20"/>
          <w:shd w:val="clear" w:color="auto" w:fill="FFFFFF"/>
        </w:rPr>
        <w:t xml:space="preserve"> Liu, X. (2010). Hydrological watersheds model researching based on digital elevation model. </w:t>
      </w:r>
      <w:r w:rsidRPr="007E03B3">
        <w:rPr>
          <w:rStyle w:val="Emphasis"/>
          <w:rFonts w:ascii="Times New Roman" w:hAnsi="Times New Roman" w:cs="Times New Roman"/>
          <w:color w:val="000000"/>
          <w:sz w:val="20"/>
          <w:szCs w:val="20"/>
          <w:shd w:val="clear" w:color="auto" w:fill="FFFFFF"/>
        </w:rPr>
        <w:t>2010 18th International Conference on Geoinformatics</w:t>
      </w:r>
      <w:r w:rsidRPr="007E03B3">
        <w:rPr>
          <w:rFonts w:ascii="Times New Roman" w:hAnsi="Times New Roman" w:cs="Times New Roman"/>
          <w:color w:val="000000"/>
          <w:sz w:val="20"/>
          <w:szCs w:val="20"/>
          <w:shd w:val="clear" w:color="auto" w:fill="FFFFFF"/>
        </w:rPr>
        <w:t>. Wang, Y., Zhang, W., &amp; Liu, X. (2010). Hydrological watersheds model researching based on digital elevation model. </w:t>
      </w:r>
      <w:r w:rsidRPr="007E03B3">
        <w:rPr>
          <w:rStyle w:val="Emphasis"/>
          <w:rFonts w:ascii="Times New Roman" w:hAnsi="Times New Roman" w:cs="Times New Roman"/>
          <w:color w:val="000000"/>
          <w:sz w:val="20"/>
          <w:szCs w:val="20"/>
          <w:shd w:val="clear" w:color="auto" w:fill="FFFFFF"/>
        </w:rPr>
        <w:t>2010 18th International Conference on Geoinformatics</w:t>
      </w:r>
      <w:r w:rsidRPr="007E03B3">
        <w:rPr>
          <w:rFonts w:ascii="Times New Roman" w:hAnsi="Times New Roman" w:cs="Times New Roman"/>
          <w:color w:val="000000"/>
          <w:sz w:val="20"/>
          <w:szCs w:val="20"/>
          <w:shd w:val="clear" w:color="auto" w:fill="FFFFFF"/>
        </w:rPr>
        <w:t>. </w:t>
      </w:r>
    </w:p>
    <w:p w14:paraId="4DEA4F4D" w14:textId="1977B7F2" w:rsidR="00E3604C" w:rsidRDefault="00E3604C" w:rsidP="006F0E16">
      <w:pPr>
        <w:spacing w:after="0" w:line="480" w:lineRule="auto"/>
        <w:ind w:left="720" w:hanging="720"/>
        <w:jc w:val="both"/>
        <w:rPr>
          <w:rFonts w:ascii="Times New Roman" w:hAnsi="Times New Roman" w:cs="Times New Roman"/>
          <w:color w:val="000000"/>
          <w:sz w:val="20"/>
          <w:szCs w:val="20"/>
          <w:shd w:val="clear" w:color="auto" w:fill="FFFFFF"/>
        </w:rPr>
      </w:pPr>
      <w:r w:rsidRPr="0082496E">
        <w:rPr>
          <w:rFonts w:ascii="Times New Roman" w:hAnsi="Times New Roman" w:cs="Times New Roman"/>
          <w:color w:val="000000"/>
          <w:sz w:val="20"/>
          <w:szCs w:val="20"/>
          <w:shd w:val="clear" w:color="auto" w:fill="FFFFFF"/>
        </w:rPr>
        <w:lastRenderedPageBreak/>
        <w:t xml:space="preserve">Wu, S., Yang, Y., and Zhao, J. (2024). Effects of conceptual model structure uncertainties on actual evapotranspiration simulation. </w:t>
      </w:r>
    </w:p>
    <w:p w14:paraId="4AB8BC5C" w14:textId="77777777" w:rsidR="00E3604C" w:rsidRPr="00E3604C" w:rsidRDefault="00E3604C" w:rsidP="00E3604C">
      <w:pPr>
        <w:spacing w:line="480" w:lineRule="auto"/>
        <w:ind w:left="720" w:hanging="720"/>
        <w:jc w:val="both"/>
        <w:rPr>
          <w:rFonts w:ascii="Times New Roman" w:hAnsi="Times New Roman" w:cs="Times New Roman"/>
          <w:sz w:val="20"/>
          <w:szCs w:val="20"/>
          <w:highlight w:val="yellow"/>
          <w:shd w:val="clear" w:color="auto" w:fill="FFFFFF"/>
        </w:rPr>
      </w:pPr>
    </w:p>
    <w:sectPr w:rsidR="00E3604C" w:rsidRPr="00E3604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69C1" w14:textId="77777777" w:rsidR="00B86247" w:rsidRDefault="00B86247" w:rsidP="00FA288A">
      <w:pPr>
        <w:spacing w:after="0" w:line="240" w:lineRule="auto"/>
      </w:pPr>
      <w:r>
        <w:separator/>
      </w:r>
    </w:p>
  </w:endnote>
  <w:endnote w:type="continuationSeparator" w:id="0">
    <w:p w14:paraId="59284A64" w14:textId="77777777" w:rsidR="00B86247" w:rsidRDefault="00B86247" w:rsidP="00FA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5B96" w14:textId="7F0A2D92" w:rsidR="006E7B97" w:rsidRDefault="006E7B97">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9EB1" w14:textId="77777777" w:rsidR="00B86247" w:rsidRDefault="00B86247" w:rsidP="00FA288A">
      <w:pPr>
        <w:spacing w:after="0" w:line="240" w:lineRule="auto"/>
      </w:pPr>
      <w:r>
        <w:separator/>
      </w:r>
    </w:p>
  </w:footnote>
  <w:footnote w:type="continuationSeparator" w:id="0">
    <w:p w14:paraId="0DB0803B" w14:textId="77777777" w:rsidR="00B86247" w:rsidRDefault="00B86247" w:rsidP="00FA2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C0"/>
    <w:rsid w:val="000053B1"/>
    <w:rsid w:val="000220A8"/>
    <w:rsid w:val="00027DE0"/>
    <w:rsid w:val="00030645"/>
    <w:rsid w:val="00031B9C"/>
    <w:rsid w:val="000471E7"/>
    <w:rsid w:val="00053AF1"/>
    <w:rsid w:val="00055B84"/>
    <w:rsid w:val="000570D7"/>
    <w:rsid w:val="00062630"/>
    <w:rsid w:val="00063616"/>
    <w:rsid w:val="00065DB8"/>
    <w:rsid w:val="000732B3"/>
    <w:rsid w:val="00091028"/>
    <w:rsid w:val="000A1653"/>
    <w:rsid w:val="000B2363"/>
    <w:rsid w:val="000E0604"/>
    <w:rsid w:val="000E4803"/>
    <w:rsid w:val="000F01D5"/>
    <w:rsid w:val="000F6BCA"/>
    <w:rsid w:val="00110A64"/>
    <w:rsid w:val="00116D4C"/>
    <w:rsid w:val="0014539B"/>
    <w:rsid w:val="001533B2"/>
    <w:rsid w:val="00161172"/>
    <w:rsid w:val="00164672"/>
    <w:rsid w:val="001A2F5D"/>
    <w:rsid w:val="001A5D68"/>
    <w:rsid w:val="001B52AD"/>
    <w:rsid w:val="001D5584"/>
    <w:rsid w:val="001F562B"/>
    <w:rsid w:val="001F77C2"/>
    <w:rsid w:val="00207E0F"/>
    <w:rsid w:val="002123B1"/>
    <w:rsid w:val="0022232C"/>
    <w:rsid w:val="0025682A"/>
    <w:rsid w:val="002677C2"/>
    <w:rsid w:val="00267D56"/>
    <w:rsid w:val="00270E60"/>
    <w:rsid w:val="00287864"/>
    <w:rsid w:val="00291C91"/>
    <w:rsid w:val="002940B4"/>
    <w:rsid w:val="002A7042"/>
    <w:rsid w:val="002B0BE3"/>
    <w:rsid w:val="002D0253"/>
    <w:rsid w:val="002D4D55"/>
    <w:rsid w:val="002D7A2F"/>
    <w:rsid w:val="002F7B65"/>
    <w:rsid w:val="0031043E"/>
    <w:rsid w:val="00326F51"/>
    <w:rsid w:val="003274FA"/>
    <w:rsid w:val="00341390"/>
    <w:rsid w:val="0034764C"/>
    <w:rsid w:val="00383EF6"/>
    <w:rsid w:val="00392D22"/>
    <w:rsid w:val="003A26AC"/>
    <w:rsid w:val="003A7BCA"/>
    <w:rsid w:val="003B38DD"/>
    <w:rsid w:val="003B537A"/>
    <w:rsid w:val="003B5969"/>
    <w:rsid w:val="003B5A65"/>
    <w:rsid w:val="003C0779"/>
    <w:rsid w:val="003C5564"/>
    <w:rsid w:val="003D6267"/>
    <w:rsid w:val="003E3F86"/>
    <w:rsid w:val="003E43FA"/>
    <w:rsid w:val="00415C56"/>
    <w:rsid w:val="0041714D"/>
    <w:rsid w:val="00423497"/>
    <w:rsid w:val="00424183"/>
    <w:rsid w:val="004260D9"/>
    <w:rsid w:val="00445A15"/>
    <w:rsid w:val="00456A34"/>
    <w:rsid w:val="00482EB6"/>
    <w:rsid w:val="004C5BB7"/>
    <w:rsid w:val="004D28E4"/>
    <w:rsid w:val="004D4B71"/>
    <w:rsid w:val="004E7281"/>
    <w:rsid w:val="00507898"/>
    <w:rsid w:val="00530E55"/>
    <w:rsid w:val="005310CD"/>
    <w:rsid w:val="00532A51"/>
    <w:rsid w:val="00545A92"/>
    <w:rsid w:val="005528E3"/>
    <w:rsid w:val="00587CFB"/>
    <w:rsid w:val="00592549"/>
    <w:rsid w:val="00595CDA"/>
    <w:rsid w:val="005B3649"/>
    <w:rsid w:val="005C166B"/>
    <w:rsid w:val="005D0B05"/>
    <w:rsid w:val="005D0C11"/>
    <w:rsid w:val="005D2541"/>
    <w:rsid w:val="005D34BB"/>
    <w:rsid w:val="005E6D56"/>
    <w:rsid w:val="005E6EA0"/>
    <w:rsid w:val="005F5D33"/>
    <w:rsid w:val="005F6B6E"/>
    <w:rsid w:val="006236FA"/>
    <w:rsid w:val="00624B1B"/>
    <w:rsid w:val="006428A5"/>
    <w:rsid w:val="00646106"/>
    <w:rsid w:val="006470D1"/>
    <w:rsid w:val="006522C3"/>
    <w:rsid w:val="006539C5"/>
    <w:rsid w:val="00653B99"/>
    <w:rsid w:val="00666192"/>
    <w:rsid w:val="006675C2"/>
    <w:rsid w:val="00686302"/>
    <w:rsid w:val="006904A8"/>
    <w:rsid w:val="006931E2"/>
    <w:rsid w:val="006A0435"/>
    <w:rsid w:val="006B0CDD"/>
    <w:rsid w:val="006B0E64"/>
    <w:rsid w:val="006B1BB0"/>
    <w:rsid w:val="006B7B2C"/>
    <w:rsid w:val="006C2AD6"/>
    <w:rsid w:val="006C2FF2"/>
    <w:rsid w:val="006C316A"/>
    <w:rsid w:val="006C31BB"/>
    <w:rsid w:val="006C47DB"/>
    <w:rsid w:val="006C60DA"/>
    <w:rsid w:val="006E7B97"/>
    <w:rsid w:val="006F0E16"/>
    <w:rsid w:val="00710A8B"/>
    <w:rsid w:val="00720FB1"/>
    <w:rsid w:val="0073496C"/>
    <w:rsid w:val="007530FB"/>
    <w:rsid w:val="00762AB3"/>
    <w:rsid w:val="00773272"/>
    <w:rsid w:val="007A742B"/>
    <w:rsid w:val="007E03B3"/>
    <w:rsid w:val="007E6E58"/>
    <w:rsid w:val="007F5364"/>
    <w:rsid w:val="007F6447"/>
    <w:rsid w:val="00806C8A"/>
    <w:rsid w:val="0082496E"/>
    <w:rsid w:val="00836DB9"/>
    <w:rsid w:val="00867CF6"/>
    <w:rsid w:val="008A4F3B"/>
    <w:rsid w:val="008C5465"/>
    <w:rsid w:val="008D51F1"/>
    <w:rsid w:val="008E20E8"/>
    <w:rsid w:val="008E51AC"/>
    <w:rsid w:val="008F6ACF"/>
    <w:rsid w:val="00901C20"/>
    <w:rsid w:val="00902DE0"/>
    <w:rsid w:val="00912B6B"/>
    <w:rsid w:val="00916964"/>
    <w:rsid w:val="0091704E"/>
    <w:rsid w:val="00917D49"/>
    <w:rsid w:val="009308BE"/>
    <w:rsid w:val="0094163C"/>
    <w:rsid w:val="00970847"/>
    <w:rsid w:val="00972D15"/>
    <w:rsid w:val="00990F42"/>
    <w:rsid w:val="00992506"/>
    <w:rsid w:val="009A492C"/>
    <w:rsid w:val="009C00C7"/>
    <w:rsid w:val="009F5BBE"/>
    <w:rsid w:val="009F6125"/>
    <w:rsid w:val="009F65A5"/>
    <w:rsid w:val="009F7D8C"/>
    <w:rsid w:val="00A039FC"/>
    <w:rsid w:val="00A12BF5"/>
    <w:rsid w:val="00A20C1A"/>
    <w:rsid w:val="00A26F09"/>
    <w:rsid w:val="00A33946"/>
    <w:rsid w:val="00A4290A"/>
    <w:rsid w:val="00A4338F"/>
    <w:rsid w:val="00A62428"/>
    <w:rsid w:val="00A62D1C"/>
    <w:rsid w:val="00A753B2"/>
    <w:rsid w:val="00A905BD"/>
    <w:rsid w:val="00A919C0"/>
    <w:rsid w:val="00AA7B0C"/>
    <w:rsid w:val="00AB0394"/>
    <w:rsid w:val="00AB24E6"/>
    <w:rsid w:val="00AC25AE"/>
    <w:rsid w:val="00AD02EC"/>
    <w:rsid w:val="00AE57C8"/>
    <w:rsid w:val="00B0180E"/>
    <w:rsid w:val="00B1037C"/>
    <w:rsid w:val="00B15B09"/>
    <w:rsid w:val="00B227D2"/>
    <w:rsid w:val="00B30FA7"/>
    <w:rsid w:val="00B42AA6"/>
    <w:rsid w:val="00B43733"/>
    <w:rsid w:val="00B516C9"/>
    <w:rsid w:val="00B775CE"/>
    <w:rsid w:val="00B842B5"/>
    <w:rsid w:val="00B84939"/>
    <w:rsid w:val="00B861C4"/>
    <w:rsid w:val="00B86247"/>
    <w:rsid w:val="00B94FD1"/>
    <w:rsid w:val="00B97760"/>
    <w:rsid w:val="00BA4F0B"/>
    <w:rsid w:val="00BB4197"/>
    <w:rsid w:val="00BC18BC"/>
    <w:rsid w:val="00BC4844"/>
    <w:rsid w:val="00BC5922"/>
    <w:rsid w:val="00BC782E"/>
    <w:rsid w:val="00BD6CDB"/>
    <w:rsid w:val="00BE0229"/>
    <w:rsid w:val="00BE158D"/>
    <w:rsid w:val="00BF1770"/>
    <w:rsid w:val="00BF60AE"/>
    <w:rsid w:val="00C041B9"/>
    <w:rsid w:val="00C06617"/>
    <w:rsid w:val="00C07992"/>
    <w:rsid w:val="00C1433A"/>
    <w:rsid w:val="00C2453B"/>
    <w:rsid w:val="00C24926"/>
    <w:rsid w:val="00C34347"/>
    <w:rsid w:val="00C54DDC"/>
    <w:rsid w:val="00C818F6"/>
    <w:rsid w:val="00CB3A3F"/>
    <w:rsid w:val="00CB737B"/>
    <w:rsid w:val="00CC3885"/>
    <w:rsid w:val="00CE761A"/>
    <w:rsid w:val="00CF027C"/>
    <w:rsid w:val="00CF3B5A"/>
    <w:rsid w:val="00D05C9F"/>
    <w:rsid w:val="00D236D8"/>
    <w:rsid w:val="00D2636B"/>
    <w:rsid w:val="00D528D1"/>
    <w:rsid w:val="00D6044C"/>
    <w:rsid w:val="00D65B96"/>
    <w:rsid w:val="00D6675D"/>
    <w:rsid w:val="00D67A3C"/>
    <w:rsid w:val="00D67F18"/>
    <w:rsid w:val="00D90952"/>
    <w:rsid w:val="00D928AF"/>
    <w:rsid w:val="00DB162D"/>
    <w:rsid w:val="00DB3C0D"/>
    <w:rsid w:val="00DD55D2"/>
    <w:rsid w:val="00DE054B"/>
    <w:rsid w:val="00E277F3"/>
    <w:rsid w:val="00E30995"/>
    <w:rsid w:val="00E3604C"/>
    <w:rsid w:val="00E45850"/>
    <w:rsid w:val="00E60FC7"/>
    <w:rsid w:val="00E93D4C"/>
    <w:rsid w:val="00EA3A82"/>
    <w:rsid w:val="00EB7379"/>
    <w:rsid w:val="00EC1E6B"/>
    <w:rsid w:val="00EC5446"/>
    <w:rsid w:val="00EC6326"/>
    <w:rsid w:val="00ED30A7"/>
    <w:rsid w:val="00ED495F"/>
    <w:rsid w:val="00EF3D11"/>
    <w:rsid w:val="00F122B3"/>
    <w:rsid w:val="00F25A37"/>
    <w:rsid w:val="00F42A23"/>
    <w:rsid w:val="00F43B74"/>
    <w:rsid w:val="00F64EA7"/>
    <w:rsid w:val="00F725A4"/>
    <w:rsid w:val="00F82079"/>
    <w:rsid w:val="00F969C2"/>
    <w:rsid w:val="00FA288A"/>
    <w:rsid w:val="00FA309F"/>
    <w:rsid w:val="00FB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4DF4"/>
  <w15:chartTrackingRefBased/>
  <w15:docId w15:val="{2367CB7C-0B06-43B1-8C0E-6E8832D0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316A"/>
    <w:pPr>
      <w:keepNext/>
      <w:keepLines/>
      <w:spacing w:before="40" w:after="0" w:line="480" w:lineRule="auto"/>
      <w:ind w:firstLine="720"/>
      <w:outlineLvl w:val="1"/>
    </w:pPr>
    <w:rPr>
      <w:rFonts w:ascii="Times New Roman" w:eastAsiaTheme="majorEastAsia" w:hAnsi="Times New Roman" w:cstheme="majorBidi"/>
      <w:b/>
      <w:sz w:val="24"/>
      <w:szCs w:val="26"/>
      <w:lang w:val="en-GB"/>
    </w:rPr>
  </w:style>
  <w:style w:type="paragraph" w:styleId="Heading3">
    <w:name w:val="heading 3"/>
    <w:basedOn w:val="Normal"/>
    <w:next w:val="Normal"/>
    <w:link w:val="Heading3Char"/>
    <w:uiPriority w:val="9"/>
    <w:semiHidden/>
    <w:unhideWhenUsed/>
    <w:qFormat/>
    <w:rsid w:val="00A339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D15"/>
    <w:rPr>
      <w:b/>
      <w:bCs/>
    </w:rPr>
  </w:style>
  <w:style w:type="character" w:styleId="Emphasis">
    <w:name w:val="Emphasis"/>
    <w:basedOn w:val="DefaultParagraphFont"/>
    <w:uiPriority w:val="20"/>
    <w:qFormat/>
    <w:rsid w:val="00972D15"/>
    <w:rPr>
      <w:i/>
      <w:iCs/>
    </w:rPr>
  </w:style>
  <w:style w:type="paragraph" w:styleId="NormalWeb">
    <w:name w:val="Normal (Web)"/>
    <w:basedOn w:val="Normal"/>
    <w:uiPriority w:val="99"/>
    <w:rsid w:val="00972D15"/>
    <w:pPr>
      <w:autoSpaceDN w:val="0"/>
      <w:spacing w:before="100" w:after="100" w:line="240" w:lineRule="auto"/>
      <w:ind w:firstLine="720"/>
      <w:jc w:val="both"/>
    </w:pPr>
    <w:rPr>
      <w:rFonts w:ascii="Times New Roman" w:eastAsia="Times New Roman" w:hAnsi="Times New Roman" w:cs="Times New Roman"/>
      <w:sz w:val="24"/>
      <w:szCs w:val="24"/>
      <w:lang w:val="en-GB"/>
    </w:rPr>
  </w:style>
  <w:style w:type="paragraph" w:styleId="Caption">
    <w:name w:val="caption"/>
    <w:basedOn w:val="Normal"/>
    <w:next w:val="Normal"/>
    <w:uiPriority w:val="35"/>
    <w:qFormat/>
    <w:rsid w:val="00972D15"/>
    <w:pPr>
      <w:autoSpaceDN w:val="0"/>
      <w:spacing w:after="120" w:line="240" w:lineRule="auto"/>
      <w:ind w:firstLine="720"/>
      <w:jc w:val="both"/>
    </w:pPr>
    <w:rPr>
      <w:rFonts w:ascii="Times New Roman" w:eastAsia="Times New Roman" w:hAnsi="Times New Roman" w:cs="Times New Roman"/>
      <w:b/>
      <w:bCs/>
      <w:szCs w:val="18"/>
      <w:lang w:val="en-GB" w:bidi="en-US"/>
    </w:rPr>
  </w:style>
  <w:style w:type="paragraph" w:styleId="Header">
    <w:name w:val="header"/>
    <w:basedOn w:val="Normal"/>
    <w:link w:val="HeaderChar"/>
    <w:uiPriority w:val="99"/>
    <w:unhideWhenUsed/>
    <w:rsid w:val="00FA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88A"/>
  </w:style>
  <w:style w:type="paragraph" w:styleId="Footer">
    <w:name w:val="footer"/>
    <w:basedOn w:val="Normal"/>
    <w:link w:val="FooterChar"/>
    <w:uiPriority w:val="99"/>
    <w:unhideWhenUsed/>
    <w:rsid w:val="00FA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88A"/>
  </w:style>
  <w:style w:type="character" w:styleId="PlaceholderText">
    <w:name w:val="Placeholder Text"/>
    <w:basedOn w:val="DefaultParagraphFont"/>
    <w:uiPriority w:val="99"/>
    <w:semiHidden/>
    <w:rsid w:val="00F42A23"/>
    <w:rPr>
      <w:color w:val="808080"/>
    </w:rPr>
  </w:style>
  <w:style w:type="character" w:customStyle="1" w:styleId="anchor-text">
    <w:name w:val="anchor-text"/>
    <w:basedOn w:val="DefaultParagraphFont"/>
    <w:rsid w:val="005F6B6E"/>
  </w:style>
  <w:style w:type="character" w:styleId="Hyperlink">
    <w:name w:val="Hyperlink"/>
    <w:basedOn w:val="DefaultParagraphFont"/>
    <w:uiPriority w:val="99"/>
    <w:semiHidden/>
    <w:unhideWhenUsed/>
    <w:rsid w:val="00F25A37"/>
    <w:rPr>
      <w:color w:val="0000FF"/>
      <w:u w:val="single"/>
    </w:rPr>
  </w:style>
  <w:style w:type="character" w:customStyle="1" w:styleId="Heading2Char">
    <w:name w:val="Heading 2 Char"/>
    <w:basedOn w:val="DefaultParagraphFont"/>
    <w:link w:val="Heading2"/>
    <w:uiPriority w:val="9"/>
    <w:qFormat/>
    <w:rsid w:val="006C316A"/>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semiHidden/>
    <w:rsid w:val="00A3394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15C56"/>
    <w:pPr>
      <w:spacing w:line="480" w:lineRule="auto"/>
      <w:ind w:left="720" w:firstLine="720"/>
      <w:contextualSpacing/>
      <w:jc w:val="both"/>
    </w:pPr>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qFormat/>
    <w:rsid w:val="00E3604C"/>
    <w:pPr>
      <w:spacing w:after="0" w:line="240" w:lineRule="auto"/>
      <w:ind w:firstLine="720"/>
      <w:jc w:val="both"/>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qFormat/>
    <w:rsid w:val="00E3604C"/>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54">
      <w:bodyDiv w:val="1"/>
      <w:marLeft w:val="0"/>
      <w:marRight w:val="0"/>
      <w:marTop w:val="0"/>
      <w:marBottom w:val="0"/>
      <w:divBdr>
        <w:top w:val="none" w:sz="0" w:space="0" w:color="auto"/>
        <w:left w:val="none" w:sz="0" w:space="0" w:color="auto"/>
        <w:bottom w:val="none" w:sz="0" w:space="0" w:color="auto"/>
        <w:right w:val="none" w:sz="0" w:space="0" w:color="auto"/>
      </w:divBdr>
    </w:div>
    <w:div w:id="54857339">
      <w:bodyDiv w:val="1"/>
      <w:marLeft w:val="0"/>
      <w:marRight w:val="0"/>
      <w:marTop w:val="0"/>
      <w:marBottom w:val="0"/>
      <w:divBdr>
        <w:top w:val="none" w:sz="0" w:space="0" w:color="auto"/>
        <w:left w:val="none" w:sz="0" w:space="0" w:color="auto"/>
        <w:bottom w:val="none" w:sz="0" w:space="0" w:color="auto"/>
        <w:right w:val="none" w:sz="0" w:space="0" w:color="auto"/>
      </w:divBdr>
    </w:div>
    <w:div w:id="110786873">
      <w:bodyDiv w:val="1"/>
      <w:marLeft w:val="0"/>
      <w:marRight w:val="0"/>
      <w:marTop w:val="0"/>
      <w:marBottom w:val="0"/>
      <w:divBdr>
        <w:top w:val="none" w:sz="0" w:space="0" w:color="auto"/>
        <w:left w:val="none" w:sz="0" w:space="0" w:color="auto"/>
        <w:bottom w:val="none" w:sz="0" w:space="0" w:color="auto"/>
        <w:right w:val="none" w:sz="0" w:space="0" w:color="auto"/>
      </w:divBdr>
    </w:div>
    <w:div w:id="157044294">
      <w:bodyDiv w:val="1"/>
      <w:marLeft w:val="0"/>
      <w:marRight w:val="0"/>
      <w:marTop w:val="0"/>
      <w:marBottom w:val="0"/>
      <w:divBdr>
        <w:top w:val="none" w:sz="0" w:space="0" w:color="auto"/>
        <w:left w:val="none" w:sz="0" w:space="0" w:color="auto"/>
        <w:bottom w:val="none" w:sz="0" w:space="0" w:color="auto"/>
        <w:right w:val="none" w:sz="0" w:space="0" w:color="auto"/>
      </w:divBdr>
    </w:div>
    <w:div w:id="166753249">
      <w:bodyDiv w:val="1"/>
      <w:marLeft w:val="0"/>
      <w:marRight w:val="0"/>
      <w:marTop w:val="0"/>
      <w:marBottom w:val="0"/>
      <w:divBdr>
        <w:top w:val="none" w:sz="0" w:space="0" w:color="auto"/>
        <w:left w:val="none" w:sz="0" w:space="0" w:color="auto"/>
        <w:bottom w:val="none" w:sz="0" w:space="0" w:color="auto"/>
        <w:right w:val="none" w:sz="0" w:space="0" w:color="auto"/>
      </w:divBdr>
    </w:div>
    <w:div w:id="208420661">
      <w:bodyDiv w:val="1"/>
      <w:marLeft w:val="0"/>
      <w:marRight w:val="0"/>
      <w:marTop w:val="0"/>
      <w:marBottom w:val="0"/>
      <w:divBdr>
        <w:top w:val="none" w:sz="0" w:space="0" w:color="auto"/>
        <w:left w:val="none" w:sz="0" w:space="0" w:color="auto"/>
        <w:bottom w:val="none" w:sz="0" w:space="0" w:color="auto"/>
        <w:right w:val="none" w:sz="0" w:space="0" w:color="auto"/>
      </w:divBdr>
      <w:divsChild>
        <w:div w:id="1392845850">
          <w:marLeft w:val="0"/>
          <w:marRight w:val="0"/>
          <w:marTop w:val="100"/>
          <w:marBottom w:val="100"/>
          <w:divBdr>
            <w:top w:val="none" w:sz="0" w:space="0" w:color="auto"/>
            <w:left w:val="none" w:sz="0" w:space="0" w:color="auto"/>
            <w:bottom w:val="none" w:sz="0" w:space="0" w:color="auto"/>
            <w:right w:val="none" w:sz="0" w:space="0" w:color="auto"/>
          </w:divBdr>
          <w:divsChild>
            <w:div w:id="677584787">
              <w:marLeft w:val="0"/>
              <w:marRight w:val="0"/>
              <w:marTop w:val="0"/>
              <w:marBottom w:val="0"/>
              <w:divBdr>
                <w:top w:val="none" w:sz="0" w:space="0" w:color="auto"/>
                <w:left w:val="none" w:sz="0" w:space="0" w:color="auto"/>
                <w:bottom w:val="none" w:sz="0" w:space="0" w:color="auto"/>
                <w:right w:val="none" w:sz="0" w:space="0" w:color="auto"/>
              </w:divBdr>
              <w:divsChild>
                <w:div w:id="287854158">
                  <w:marLeft w:val="0"/>
                  <w:marRight w:val="0"/>
                  <w:marTop w:val="0"/>
                  <w:marBottom w:val="0"/>
                  <w:divBdr>
                    <w:top w:val="none" w:sz="0" w:space="0" w:color="auto"/>
                    <w:left w:val="none" w:sz="0" w:space="0" w:color="auto"/>
                    <w:bottom w:val="none" w:sz="0" w:space="0" w:color="auto"/>
                    <w:right w:val="none" w:sz="0" w:space="0" w:color="auto"/>
                  </w:divBdr>
                  <w:divsChild>
                    <w:div w:id="1687829058">
                      <w:marLeft w:val="0"/>
                      <w:marRight w:val="0"/>
                      <w:marTop w:val="450"/>
                      <w:marBottom w:val="450"/>
                      <w:divBdr>
                        <w:top w:val="none" w:sz="0" w:space="0" w:color="auto"/>
                        <w:left w:val="none" w:sz="0" w:space="0" w:color="auto"/>
                        <w:bottom w:val="none" w:sz="0" w:space="0" w:color="auto"/>
                        <w:right w:val="none" w:sz="0" w:space="0" w:color="auto"/>
                      </w:divBdr>
                      <w:divsChild>
                        <w:div w:id="1194271235">
                          <w:marLeft w:val="0"/>
                          <w:marRight w:val="0"/>
                          <w:marTop w:val="0"/>
                          <w:marBottom w:val="0"/>
                          <w:divBdr>
                            <w:top w:val="none" w:sz="0" w:space="0" w:color="auto"/>
                            <w:left w:val="none" w:sz="0" w:space="0" w:color="auto"/>
                            <w:bottom w:val="none" w:sz="0" w:space="0" w:color="auto"/>
                            <w:right w:val="none" w:sz="0" w:space="0" w:color="auto"/>
                          </w:divBdr>
                          <w:divsChild>
                            <w:div w:id="991326027">
                              <w:marLeft w:val="0"/>
                              <w:marRight w:val="0"/>
                              <w:marTop w:val="0"/>
                              <w:marBottom w:val="0"/>
                              <w:divBdr>
                                <w:top w:val="none" w:sz="0" w:space="0" w:color="auto"/>
                                <w:left w:val="none" w:sz="0" w:space="0" w:color="auto"/>
                                <w:bottom w:val="none" w:sz="0" w:space="0" w:color="auto"/>
                                <w:right w:val="none" w:sz="0" w:space="0" w:color="auto"/>
                              </w:divBdr>
                              <w:divsChild>
                                <w:div w:id="560941166">
                                  <w:marLeft w:val="0"/>
                                  <w:marRight w:val="0"/>
                                  <w:marTop w:val="0"/>
                                  <w:marBottom w:val="0"/>
                                  <w:divBdr>
                                    <w:top w:val="none" w:sz="0" w:space="0" w:color="auto"/>
                                    <w:left w:val="none" w:sz="0" w:space="0" w:color="auto"/>
                                    <w:bottom w:val="none" w:sz="0" w:space="0" w:color="auto"/>
                                    <w:right w:val="none" w:sz="0" w:space="0" w:color="auto"/>
                                  </w:divBdr>
                                  <w:divsChild>
                                    <w:div w:id="1247575393">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271786988">
      <w:bodyDiv w:val="1"/>
      <w:marLeft w:val="0"/>
      <w:marRight w:val="0"/>
      <w:marTop w:val="0"/>
      <w:marBottom w:val="0"/>
      <w:divBdr>
        <w:top w:val="none" w:sz="0" w:space="0" w:color="auto"/>
        <w:left w:val="none" w:sz="0" w:space="0" w:color="auto"/>
        <w:bottom w:val="none" w:sz="0" w:space="0" w:color="auto"/>
        <w:right w:val="none" w:sz="0" w:space="0" w:color="auto"/>
      </w:divBdr>
    </w:div>
    <w:div w:id="310326542">
      <w:bodyDiv w:val="1"/>
      <w:marLeft w:val="0"/>
      <w:marRight w:val="0"/>
      <w:marTop w:val="0"/>
      <w:marBottom w:val="0"/>
      <w:divBdr>
        <w:top w:val="none" w:sz="0" w:space="0" w:color="auto"/>
        <w:left w:val="none" w:sz="0" w:space="0" w:color="auto"/>
        <w:bottom w:val="none" w:sz="0" w:space="0" w:color="auto"/>
        <w:right w:val="none" w:sz="0" w:space="0" w:color="auto"/>
      </w:divBdr>
    </w:div>
    <w:div w:id="318731743">
      <w:bodyDiv w:val="1"/>
      <w:marLeft w:val="0"/>
      <w:marRight w:val="0"/>
      <w:marTop w:val="0"/>
      <w:marBottom w:val="0"/>
      <w:divBdr>
        <w:top w:val="none" w:sz="0" w:space="0" w:color="auto"/>
        <w:left w:val="none" w:sz="0" w:space="0" w:color="auto"/>
        <w:bottom w:val="none" w:sz="0" w:space="0" w:color="auto"/>
        <w:right w:val="none" w:sz="0" w:space="0" w:color="auto"/>
      </w:divBdr>
    </w:div>
    <w:div w:id="349718164">
      <w:bodyDiv w:val="1"/>
      <w:marLeft w:val="0"/>
      <w:marRight w:val="0"/>
      <w:marTop w:val="0"/>
      <w:marBottom w:val="0"/>
      <w:divBdr>
        <w:top w:val="none" w:sz="0" w:space="0" w:color="auto"/>
        <w:left w:val="none" w:sz="0" w:space="0" w:color="auto"/>
        <w:bottom w:val="none" w:sz="0" w:space="0" w:color="auto"/>
        <w:right w:val="none" w:sz="0" w:space="0" w:color="auto"/>
      </w:divBdr>
    </w:div>
    <w:div w:id="394008980">
      <w:bodyDiv w:val="1"/>
      <w:marLeft w:val="0"/>
      <w:marRight w:val="0"/>
      <w:marTop w:val="0"/>
      <w:marBottom w:val="0"/>
      <w:divBdr>
        <w:top w:val="none" w:sz="0" w:space="0" w:color="auto"/>
        <w:left w:val="none" w:sz="0" w:space="0" w:color="auto"/>
        <w:bottom w:val="none" w:sz="0" w:space="0" w:color="auto"/>
        <w:right w:val="none" w:sz="0" w:space="0" w:color="auto"/>
      </w:divBdr>
    </w:div>
    <w:div w:id="612596863">
      <w:bodyDiv w:val="1"/>
      <w:marLeft w:val="0"/>
      <w:marRight w:val="0"/>
      <w:marTop w:val="0"/>
      <w:marBottom w:val="0"/>
      <w:divBdr>
        <w:top w:val="none" w:sz="0" w:space="0" w:color="auto"/>
        <w:left w:val="none" w:sz="0" w:space="0" w:color="auto"/>
        <w:bottom w:val="none" w:sz="0" w:space="0" w:color="auto"/>
        <w:right w:val="none" w:sz="0" w:space="0" w:color="auto"/>
      </w:divBdr>
    </w:div>
    <w:div w:id="726031902">
      <w:bodyDiv w:val="1"/>
      <w:marLeft w:val="0"/>
      <w:marRight w:val="0"/>
      <w:marTop w:val="0"/>
      <w:marBottom w:val="0"/>
      <w:divBdr>
        <w:top w:val="none" w:sz="0" w:space="0" w:color="auto"/>
        <w:left w:val="none" w:sz="0" w:space="0" w:color="auto"/>
        <w:bottom w:val="none" w:sz="0" w:space="0" w:color="auto"/>
        <w:right w:val="none" w:sz="0" w:space="0" w:color="auto"/>
      </w:divBdr>
      <w:divsChild>
        <w:div w:id="289435672">
          <w:marLeft w:val="0"/>
          <w:marRight w:val="0"/>
          <w:marTop w:val="100"/>
          <w:marBottom w:val="100"/>
          <w:divBdr>
            <w:top w:val="none" w:sz="0" w:space="0" w:color="auto"/>
            <w:left w:val="none" w:sz="0" w:space="0" w:color="auto"/>
            <w:bottom w:val="none" w:sz="0" w:space="0" w:color="auto"/>
            <w:right w:val="none" w:sz="0" w:space="0" w:color="auto"/>
          </w:divBdr>
          <w:divsChild>
            <w:div w:id="1412392377">
              <w:marLeft w:val="0"/>
              <w:marRight w:val="0"/>
              <w:marTop w:val="0"/>
              <w:marBottom w:val="0"/>
              <w:divBdr>
                <w:top w:val="none" w:sz="0" w:space="0" w:color="auto"/>
                <w:left w:val="none" w:sz="0" w:space="0" w:color="auto"/>
                <w:bottom w:val="none" w:sz="0" w:space="0" w:color="auto"/>
                <w:right w:val="none" w:sz="0" w:space="0" w:color="auto"/>
              </w:divBdr>
              <w:divsChild>
                <w:div w:id="1744569807">
                  <w:marLeft w:val="0"/>
                  <w:marRight w:val="0"/>
                  <w:marTop w:val="0"/>
                  <w:marBottom w:val="0"/>
                  <w:divBdr>
                    <w:top w:val="none" w:sz="0" w:space="0" w:color="auto"/>
                    <w:left w:val="none" w:sz="0" w:space="0" w:color="auto"/>
                    <w:bottom w:val="none" w:sz="0" w:space="0" w:color="auto"/>
                    <w:right w:val="none" w:sz="0" w:space="0" w:color="auto"/>
                  </w:divBdr>
                  <w:divsChild>
                    <w:div w:id="1447120337">
                      <w:marLeft w:val="0"/>
                      <w:marRight w:val="0"/>
                      <w:marTop w:val="450"/>
                      <w:marBottom w:val="450"/>
                      <w:divBdr>
                        <w:top w:val="none" w:sz="0" w:space="0" w:color="auto"/>
                        <w:left w:val="none" w:sz="0" w:space="0" w:color="auto"/>
                        <w:bottom w:val="none" w:sz="0" w:space="0" w:color="auto"/>
                        <w:right w:val="none" w:sz="0" w:space="0" w:color="auto"/>
                      </w:divBdr>
                      <w:divsChild>
                        <w:div w:id="176240976">
                          <w:marLeft w:val="0"/>
                          <w:marRight w:val="0"/>
                          <w:marTop w:val="0"/>
                          <w:marBottom w:val="0"/>
                          <w:divBdr>
                            <w:top w:val="none" w:sz="0" w:space="0" w:color="auto"/>
                            <w:left w:val="none" w:sz="0" w:space="0" w:color="auto"/>
                            <w:bottom w:val="none" w:sz="0" w:space="0" w:color="auto"/>
                            <w:right w:val="none" w:sz="0" w:space="0" w:color="auto"/>
                          </w:divBdr>
                          <w:divsChild>
                            <w:div w:id="1167944381">
                              <w:marLeft w:val="0"/>
                              <w:marRight w:val="0"/>
                              <w:marTop w:val="0"/>
                              <w:marBottom w:val="0"/>
                              <w:divBdr>
                                <w:top w:val="none" w:sz="0" w:space="0" w:color="auto"/>
                                <w:left w:val="none" w:sz="0" w:space="0" w:color="auto"/>
                                <w:bottom w:val="none" w:sz="0" w:space="0" w:color="auto"/>
                                <w:right w:val="none" w:sz="0" w:space="0" w:color="auto"/>
                              </w:divBdr>
                              <w:divsChild>
                                <w:div w:id="1224754696">
                                  <w:marLeft w:val="0"/>
                                  <w:marRight w:val="0"/>
                                  <w:marTop w:val="0"/>
                                  <w:marBottom w:val="0"/>
                                  <w:divBdr>
                                    <w:top w:val="none" w:sz="0" w:space="0" w:color="auto"/>
                                    <w:left w:val="none" w:sz="0" w:space="0" w:color="auto"/>
                                    <w:bottom w:val="none" w:sz="0" w:space="0" w:color="auto"/>
                                    <w:right w:val="none" w:sz="0" w:space="0" w:color="auto"/>
                                  </w:divBdr>
                                  <w:divsChild>
                                    <w:div w:id="2057655133">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783311734">
      <w:bodyDiv w:val="1"/>
      <w:marLeft w:val="0"/>
      <w:marRight w:val="0"/>
      <w:marTop w:val="0"/>
      <w:marBottom w:val="0"/>
      <w:divBdr>
        <w:top w:val="none" w:sz="0" w:space="0" w:color="auto"/>
        <w:left w:val="none" w:sz="0" w:space="0" w:color="auto"/>
        <w:bottom w:val="none" w:sz="0" w:space="0" w:color="auto"/>
        <w:right w:val="none" w:sz="0" w:space="0" w:color="auto"/>
      </w:divBdr>
    </w:div>
    <w:div w:id="783571455">
      <w:bodyDiv w:val="1"/>
      <w:marLeft w:val="0"/>
      <w:marRight w:val="0"/>
      <w:marTop w:val="0"/>
      <w:marBottom w:val="0"/>
      <w:divBdr>
        <w:top w:val="none" w:sz="0" w:space="0" w:color="auto"/>
        <w:left w:val="none" w:sz="0" w:space="0" w:color="auto"/>
        <w:bottom w:val="none" w:sz="0" w:space="0" w:color="auto"/>
        <w:right w:val="none" w:sz="0" w:space="0" w:color="auto"/>
      </w:divBdr>
    </w:div>
    <w:div w:id="828210859">
      <w:bodyDiv w:val="1"/>
      <w:marLeft w:val="0"/>
      <w:marRight w:val="0"/>
      <w:marTop w:val="0"/>
      <w:marBottom w:val="0"/>
      <w:divBdr>
        <w:top w:val="none" w:sz="0" w:space="0" w:color="auto"/>
        <w:left w:val="none" w:sz="0" w:space="0" w:color="auto"/>
        <w:bottom w:val="none" w:sz="0" w:space="0" w:color="auto"/>
        <w:right w:val="none" w:sz="0" w:space="0" w:color="auto"/>
      </w:divBdr>
      <w:divsChild>
        <w:div w:id="449477042">
          <w:marLeft w:val="0"/>
          <w:marRight w:val="0"/>
          <w:marTop w:val="100"/>
          <w:marBottom w:val="100"/>
          <w:divBdr>
            <w:top w:val="none" w:sz="0" w:space="0" w:color="auto"/>
            <w:left w:val="none" w:sz="0" w:space="0" w:color="auto"/>
            <w:bottom w:val="none" w:sz="0" w:space="0" w:color="auto"/>
            <w:right w:val="none" w:sz="0" w:space="0" w:color="auto"/>
          </w:divBdr>
          <w:divsChild>
            <w:div w:id="284241020">
              <w:marLeft w:val="0"/>
              <w:marRight w:val="0"/>
              <w:marTop w:val="0"/>
              <w:marBottom w:val="0"/>
              <w:divBdr>
                <w:top w:val="none" w:sz="0" w:space="0" w:color="auto"/>
                <w:left w:val="none" w:sz="0" w:space="0" w:color="auto"/>
                <w:bottom w:val="none" w:sz="0" w:space="0" w:color="auto"/>
                <w:right w:val="none" w:sz="0" w:space="0" w:color="auto"/>
              </w:divBdr>
              <w:divsChild>
                <w:div w:id="2114474627">
                  <w:marLeft w:val="0"/>
                  <w:marRight w:val="0"/>
                  <w:marTop w:val="0"/>
                  <w:marBottom w:val="0"/>
                  <w:divBdr>
                    <w:top w:val="none" w:sz="0" w:space="0" w:color="auto"/>
                    <w:left w:val="none" w:sz="0" w:space="0" w:color="auto"/>
                    <w:bottom w:val="none" w:sz="0" w:space="0" w:color="auto"/>
                    <w:right w:val="none" w:sz="0" w:space="0" w:color="auto"/>
                  </w:divBdr>
                  <w:divsChild>
                    <w:div w:id="12072427">
                      <w:marLeft w:val="0"/>
                      <w:marRight w:val="0"/>
                      <w:marTop w:val="450"/>
                      <w:marBottom w:val="450"/>
                      <w:divBdr>
                        <w:top w:val="none" w:sz="0" w:space="0" w:color="auto"/>
                        <w:left w:val="none" w:sz="0" w:space="0" w:color="auto"/>
                        <w:bottom w:val="none" w:sz="0" w:space="0" w:color="auto"/>
                        <w:right w:val="none" w:sz="0" w:space="0" w:color="auto"/>
                      </w:divBdr>
                      <w:divsChild>
                        <w:div w:id="967122856">
                          <w:marLeft w:val="0"/>
                          <w:marRight w:val="0"/>
                          <w:marTop w:val="0"/>
                          <w:marBottom w:val="0"/>
                          <w:divBdr>
                            <w:top w:val="none" w:sz="0" w:space="0" w:color="auto"/>
                            <w:left w:val="none" w:sz="0" w:space="0" w:color="auto"/>
                            <w:bottom w:val="none" w:sz="0" w:space="0" w:color="auto"/>
                            <w:right w:val="none" w:sz="0" w:space="0" w:color="auto"/>
                          </w:divBdr>
                          <w:divsChild>
                            <w:div w:id="540745508">
                              <w:marLeft w:val="0"/>
                              <w:marRight w:val="0"/>
                              <w:marTop w:val="0"/>
                              <w:marBottom w:val="0"/>
                              <w:divBdr>
                                <w:top w:val="none" w:sz="0" w:space="0" w:color="auto"/>
                                <w:left w:val="none" w:sz="0" w:space="0" w:color="auto"/>
                                <w:bottom w:val="none" w:sz="0" w:space="0" w:color="auto"/>
                                <w:right w:val="none" w:sz="0" w:space="0" w:color="auto"/>
                              </w:divBdr>
                              <w:divsChild>
                                <w:div w:id="1532917159">
                                  <w:marLeft w:val="0"/>
                                  <w:marRight w:val="0"/>
                                  <w:marTop w:val="0"/>
                                  <w:marBottom w:val="0"/>
                                  <w:divBdr>
                                    <w:top w:val="none" w:sz="0" w:space="0" w:color="auto"/>
                                    <w:left w:val="none" w:sz="0" w:space="0" w:color="auto"/>
                                    <w:bottom w:val="none" w:sz="0" w:space="0" w:color="auto"/>
                                    <w:right w:val="none" w:sz="0" w:space="0" w:color="auto"/>
                                  </w:divBdr>
                                  <w:divsChild>
                                    <w:div w:id="531572714">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846214753">
      <w:bodyDiv w:val="1"/>
      <w:marLeft w:val="0"/>
      <w:marRight w:val="0"/>
      <w:marTop w:val="0"/>
      <w:marBottom w:val="0"/>
      <w:divBdr>
        <w:top w:val="none" w:sz="0" w:space="0" w:color="auto"/>
        <w:left w:val="none" w:sz="0" w:space="0" w:color="auto"/>
        <w:bottom w:val="none" w:sz="0" w:space="0" w:color="auto"/>
        <w:right w:val="none" w:sz="0" w:space="0" w:color="auto"/>
      </w:divBdr>
      <w:divsChild>
        <w:div w:id="282732218">
          <w:marLeft w:val="0"/>
          <w:marRight w:val="0"/>
          <w:marTop w:val="100"/>
          <w:marBottom w:val="100"/>
          <w:divBdr>
            <w:top w:val="none" w:sz="0" w:space="0" w:color="auto"/>
            <w:left w:val="none" w:sz="0" w:space="0" w:color="auto"/>
            <w:bottom w:val="none" w:sz="0" w:space="0" w:color="auto"/>
            <w:right w:val="none" w:sz="0" w:space="0" w:color="auto"/>
          </w:divBdr>
          <w:divsChild>
            <w:div w:id="2016614605">
              <w:marLeft w:val="0"/>
              <w:marRight w:val="0"/>
              <w:marTop w:val="0"/>
              <w:marBottom w:val="0"/>
              <w:divBdr>
                <w:top w:val="none" w:sz="0" w:space="0" w:color="auto"/>
                <w:left w:val="none" w:sz="0" w:space="0" w:color="auto"/>
                <w:bottom w:val="none" w:sz="0" w:space="0" w:color="auto"/>
                <w:right w:val="none" w:sz="0" w:space="0" w:color="auto"/>
              </w:divBdr>
              <w:divsChild>
                <w:div w:id="90861525">
                  <w:marLeft w:val="0"/>
                  <w:marRight w:val="0"/>
                  <w:marTop w:val="0"/>
                  <w:marBottom w:val="0"/>
                  <w:divBdr>
                    <w:top w:val="none" w:sz="0" w:space="0" w:color="auto"/>
                    <w:left w:val="none" w:sz="0" w:space="0" w:color="auto"/>
                    <w:bottom w:val="none" w:sz="0" w:space="0" w:color="auto"/>
                    <w:right w:val="none" w:sz="0" w:space="0" w:color="auto"/>
                  </w:divBdr>
                  <w:divsChild>
                    <w:div w:id="1839692628">
                      <w:marLeft w:val="0"/>
                      <w:marRight w:val="0"/>
                      <w:marTop w:val="450"/>
                      <w:marBottom w:val="450"/>
                      <w:divBdr>
                        <w:top w:val="none" w:sz="0" w:space="0" w:color="auto"/>
                        <w:left w:val="none" w:sz="0" w:space="0" w:color="auto"/>
                        <w:bottom w:val="none" w:sz="0" w:space="0" w:color="auto"/>
                        <w:right w:val="none" w:sz="0" w:space="0" w:color="auto"/>
                      </w:divBdr>
                      <w:divsChild>
                        <w:div w:id="830294084">
                          <w:marLeft w:val="0"/>
                          <w:marRight w:val="0"/>
                          <w:marTop w:val="0"/>
                          <w:marBottom w:val="0"/>
                          <w:divBdr>
                            <w:top w:val="none" w:sz="0" w:space="0" w:color="auto"/>
                            <w:left w:val="none" w:sz="0" w:space="0" w:color="auto"/>
                            <w:bottom w:val="none" w:sz="0" w:space="0" w:color="auto"/>
                            <w:right w:val="none" w:sz="0" w:space="0" w:color="auto"/>
                          </w:divBdr>
                          <w:divsChild>
                            <w:div w:id="722483502">
                              <w:marLeft w:val="0"/>
                              <w:marRight w:val="0"/>
                              <w:marTop w:val="0"/>
                              <w:marBottom w:val="0"/>
                              <w:divBdr>
                                <w:top w:val="none" w:sz="0" w:space="0" w:color="auto"/>
                                <w:left w:val="none" w:sz="0" w:space="0" w:color="auto"/>
                                <w:bottom w:val="none" w:sz="0" w:space="0" w:color="auto"/>
                                <w:right w:val="none" w:sz="0" w:space="0" w:color="auto"/>
                              </w:divBdr>
                              <w:divsChild>
                                <w:div w:id="305932999">
                                  <w:marLeft w:val="0"/>
                                  <w:marRight w:val="0"/>
                                  <w:marTop w:val="0"/>
                                  <w:marBottom w:val="0"/>
                                  <w:divBdr>
                                    <w:top w:val="none" w:sz="0" w:space="0" w:color="auto"/>
                                    <w:left w:val="none" w:sz="0" w:space="0" w:color="auto"/>
                                    <w:bottom w:val="none" w:sz="0" w:space="0" w:color="auto"/>
                                    <w:right w:val="none" w:sz="0" w:space="0" w:color="auto"/>
                                  </w:divBdr>
                                  <w:divsChild>
                                    <w:div w:id="1780639118">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884416165">
      <w:bodyDiv w:val="1"/>
      <w:marLeft w:val="0"/>
      <w:marRight w:val="0"/>
      <w:marTop w:val="0"/>
      <w:marBottom w:val="0"/>
      <w:divBdr>
        <w:top w:val="none" w:sz="0" w:space="0" w:color="auto"/>
        <w:left w:val="none" w:sz="0" w:space="0" w:color="auto"/>
        <w:bottom w:val="none" w:sz="0" w:space="0" w:color="auto"/>
        <w:right w:val="none" w:sz="0" w:space="0" w:color="auto"/>
      </w:divBdr>
    </w:div>
    <w:div w:id="972102593">
      <w:bodyDiv w:val="1"/>
      <w:marLeft w:val="0"/>
      <w:marRight w:val="0"/>
      <w:marTop w:val="0"/>
      <w:marBottom w:val="0"/>
      <w:divBdr>
        <w:top w:val="none" w:sz="0" w:space="0" w:color="auto"/>
        <w:left w:val="none" w:sz="0" w:space="0" w:color="auto"/>
        <w:bottom w:val="none" w:sz="0" w:space="0" w:color="auto"/>
        <w:right w:val="none" w:sz="0" w:space="0" w:color="auto"/>
      </w:divBdr>
    </w:div>
    <w:div w:id="1031764677">
      <w:bodyDiv w:val="1"/>
      <w:marLeft w:val="0"/>
      <w:marRight w:val="0"/>
      <w:marTop w:val="0"/>
      <w:marBottom w:val="0"/>
      <w:divBdr>
        <w:top w:val="none" w:sz="0" w:space="0" w:color="auto"/>
        <w:left w:val="none" w:sz="0" w:space="0" w:color="auto"/>
        <w:bottom w:val="none" w:sz="0" w:space="0" w:color="auto"/>
        <w:right w:val="none" w:sz="0" w:space="0" w:color="auto"/>
      </w:divBdr>
      <w:divsChild>
        <w:div w:id="1501774693">
          <w:marLeft w:val="0"/>
          <w:marRight w:val="0"/>
          <w:marTop w:val="100"/>
          <w:marBottom w:val="100"/>
          <w:divBdr>
            <w:top w:val="none" w:sz="0" w:space="0" w:color="auto"/>
            <w:left w:val="none" w:sz="0" w:space="0" w:color="auto"/>
            <w:bottom w:val="none" w:sz="0" w:space="0" w:color="auto"/>
            <w:right w:val="none" w:sz="0" w:space="0" w:color="auto"/>
          </w:divBdr>
          <w:divsChild>
            <w:div w:id="849680745">
              <w:marLeft w:val="0"/>
              <w:marRight w:val="0"/>
              <w:marTop w:val="0"/>
              <w:marBottom w:val="0"/>
              <w:divBdr>
                <w:top w:val="none" w:sz="0" w:space="0" w:color="auto"/>
                <w:left w:val="none" w:sz="0" w:space="0" w:color="auto"/>
                <w:bottom w:val="none" w:sz="0" w:space="0" w:color="auto"/>
                <w:right w:val="none" w:sz="0" w:space="0" w:color="auto"/>
              </w:divBdr>
              <w:divsChild>
                <w:div w:id="2121366024">
                  <w:marLeft w:val="0"/>
                  <w:marRight w:val="0"/>
                  <w:marTop w:val="0"/>
                  <w:marBottom w:val="0"/>
                  <w:divBdr>
                    <w:top w:val="none" w:sz="0" w:space="0" w:color="auto"/>
                    <w:left w:val="none" w:sz="0" w:space="0" w:color="auto"/>
                    <w:bottom w:val="none" w:sz="0" w:space="0" w:color="auto"/>
                    <w:right w:val="none" w:sz="0" w:space="0" w:color="auto"/>
                  </w:divBdr>
                  <w:divsChild>
                    <w:div w:id="1647320583">
                      <w:marLeft w:val="0"/>
                      <w:marRight w:val="0"/>
                      <w:marTop w:val="450"/>
                      <w:marBottom w:val="450"/>
                      <w:divBdr>
                        <w:top w:val="none" w:sz="0" w:space="0" w:color="auto"/>
                        <w:left w:val="none" w:sz="0" w:space="0" w:color="auto"/>
                        <w:bottom w:val="none" w:sz="0" w:space="0" w:color="auto"/>
                        <w:right w:val="none" w:sz="0" w:space="0" w:color="auto"/>
                      </w:divBdr>
                      <w:divsChild>
                        <w:div w:id="1451388828">
                          <w:marLeft w:val="0"/>
                          <w:marRight w:val="0"/>
                          <w:marTop w:val="0"/>
                          <w:marBottom w:val="0"/>
                          <w:divBdr>
                            <w:top w:val="none" w:sz="0" w:space="0" w:color="auto"/>
                            <w:left w:val="none" w:sz="0" w:space="0" w:color="auto"/>
                            <w:bottom w:val="none" w:sz="0" w:space="0" w:color="auto"/>
                            <w:right w:val="none" w:sz="0" w:space="0" w:color="auto"/>
                          </w:divBdr>
                          <w:divsChild>
                            <w:div w:id="2020109769">
                              <w:marLeft w:val="0"/>
                              <w:marRight w:val="0"/>
                              <w:marTop w:val="0"/>
                              <w:marBottom w:val="0"/>
                              <w:divBdr>
                                <w:top w:val="none" w:sz="0" w:space="0" w:color="auto"/>
                                <w:left w:val="none" w:sz="0" w:space="0" w:color="auto"/>
                                <w:bottom w:val="none" w:sz="0" w:space="0" w:color="auto"/>
                                <w:right w:val="none" w:sz="0" w:space="0" w:color="auto"/>
                              </w:divBdr>
                              <w:divsChild>
                                <w:div w:id="379519162">
                                  <w:marLeft w:val="0"/>
                                  <w:marRight w:val="0"/>
                                  <w:marTop w:val="0"/>
                                  <w:marBottom w:val="0"/>
                                  <w:divBdr>
                                    <w:top w:val="none" w:sz="0" w:space="0" w:color="auto"/>
                                    <w:left w:val="none" w:sz="0" w:space="0" w:color="auto"/>
                                    <w:bottom w:val="none" w:sz="0" w:space="0" w:color="auto"/>
                                    <w:right w:val="none" w:sz="0" w:space="0" w:color="auto"/>
                                  </w:divBdr>
                                  <w:divsChild>
                                    <w:div w:id="1589726744">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049378725">
      <w:bodyDiv w:val="1"/>
      <w:marLeft w:val="0"/>
      <w:marRight w:val="0"/>
      <w:marTop w:val="0"/>
      <w:marBottom w:val="0"/>
      <w:divBdr>
        <w:top w:val="none" w:sz="0" w:space="0" w:color="auto"/>
        <w:left w:val="none" w:sz="0" w:space="0" w:color="auto"/>
        <w:bottom w:val="none" w:sz="0" w:space="0" w:color="auto"/>
        <w:right w:val="none" w:sz="0" w:space="0" w:color="auto"/>
      </w:divBdr>
    </w:div>
    <w:div w:id="1069159014">
      <w:bodyDiv w:val="1"/>
      <w:marLeft w:val="0"/>
      <w:marRight w:val="0"/>
      <w:marTop w:val="0"/>
      <w:marBottom w:val="0"/>
      <w:divBdr>
        <w:top w:val="none" w:sz="0" w:space="0" w:color="auto"/>
        <w:left w:val="none" w:sz="0" w:space="0" w:color="auto"/>
        <w:bottom w:val="none" w:sz="0" w:space="0" w:color="auto"/>
        <w:right w:val="none" w:sz="0" w:space="0" w:color="auto"/>
      </w:divBdr>
      <w:divsChild>
        <w:div w:id="98257818">
          <w:marLeft w:val="0"/>
          <w:marRight w:val="0"/>
          <w:marTop w:val="100"/>
          <w:marBottom w:val="100"/>
          <w:divBdr>
            <w:top w:val="none" w:sz="0" w:space="0" w:color="auto"/>
            <w:left w:val="none" w:sz="0" w:space="0" w:color="auto"/>
            <w:bottom w:val="none" w:sz="0" w:space="0" w:color="auto"/>
            <w:right w:val="none" w:sz="0" w:space="0" w:color="auto"/>
          </w:divBdr>
          <w:divsChild>
            <w:div w:id="992560193">
              <w:marLeft w:val="0"/>
              <w:marRight w:val="0"/>
              <w:marTop w:val="0"/>
              <w:marBottom w:val="0"/>
              <w:divBdr>
                <w:top w:val="none" w:sz="0" w:space="0" w:color="auto"/>
                <w:left w:val="none" w:sz="0" w:space="0" w:color="auto"/>
                <w:bottom w:val="none" w:sz="0" w:space="0" w:color="auto"/>
                <w:right w:val="none" w:sz="0" w:space="0" w:color="auto"/>
              </w:divBdr>
              <w:divsChild>
                <w:div w:id="145439499">
                  <w:marLeft w:val="0"/>
                  <w:marRight w:val="0"/>
                  <w:marTop w:val="0"/>
                  <w:marBottom w:val="0"/>
                  <w:divBdr>
                    <w:top w:val="none" w:sz="0" w:space="0" w:color="auto"/>
                    <w:left w:val="none" w:sz="0" w:space="0" w:color="auto"/>
                    <w:bottom w:val="none" w:sz="0" w:space="0" w:color="auto"/>
                    <w:right w:val="none" w:sz="0" w:space="0" w:color="auto"/>
                  </w:divBdr>
                  <w:divsChild>
                    <w:div w:id="170292005">
                      <w:marLeft w:val="0"/>
                      <w:marRight w:val="0"/>
                      <w:marTop w:val="450"/>
                      <w:marBottom w:val="450"/>
                      <w:divBdr>
                        <w:top w:val="none" w:sz="0" w:space="0" w:color="auto"/>
                        <w:left w:val="none" w:sz="0" w:space="0" w:color="auto"/>
                        <w:bottom w:val="none" w:sz="0" w:space="0" w:color="auto"/>
                        <w:right w:val="none" w:sz="0" w:space="0" w:color="auto"/>
                      </w:divBdr>
                      <w:divsChild>
                        <w:div w:id="777061373">
                          <w:marLeft w:val="0"/>
                          <w:marRight w:val="0"/>
                          <w:marTop w:val="0"/>
                          <w:marBottom w:val="0"/>
                          <w:divBdr>
                            <w:top w:val="none" w:sz="0" w:space="0" w:color="auto"/>
                            <w:left w:val="none" w:sz="0" w:space="0" w:color="auto"/>
                            <w:bottom w:val="none" w:sz="0" w:space="0" w:color="auto"/>
                            <w:right w:val="none" w:sz="0" w:space="0" w:color="auto"/>
                          </w:divBdr>
                          <w:divsChild>
                            <w:div w:id="2118016248">
                              <w:marLeft w:val="0"/>
                              <w:marRight w:val="0"/>
                              <w:marTop w:val="0"/>
                              <w:marBottom w:val="0"/>
                              <w:divBdr>
                                <w:top w:val="none" w:sz="0" w:space="0" w:color="auto"/>
                                <w:left w:val="none" w:sz="0" w:space="0" w:color="auto"/>
                                <w:bottom w:val="none" w:sz="0" w:space="0" w:color="auto"/>
                                <w:right w:val="none" w:sz="0" w:space="0" w:color="auto"/>
                              </w:divBdr>
                              <w:divsChild>
                                <w:div w:id="413283465">
                                  <w:marLeft w:val="0"/>
                                  <w:marRight w:val="0"/>
                                  <w:marTop w:val="0"/>
                                  <w:marBottom w:val="0"/>
                                  <w:divBdr>
                                    <w:top w:val="none" w:sz="0" w:space="0" w:color="auto"/>
                                    <w:left w:val="none" w:sz="0" w:space="0" w:color="auto"/>
                                    <w:bottom w:val="none" w:sz="0" w:space="0" w:color="auto"/>
                                    <w:right w:val="none" w:sz="0" w:space="0" w:color="auto"/>
                                  </w:divBdr>
                                  <w:divsChild>
                                    <w:div w:id="1834368525">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140465434">
      <w:bodyDiv w:val="1"/>
      <w:marLeft w:val="0"/>
      <w:marRight w:val="0"/>
      <w:marTop w:val="0"/>
      <w:marBottom w:val="0"/>
      <w:divBdr>
        <w:top w:val="none" w:sz="0" w:space="0" w:color="auto"/>
        <w:left w:val="none" w:sz="0" w:space="0" w:color="auto"/>
        <w:bottom w:val="none" w:sz="0" w:space="0" w:color="auto"/>
        <w:right w:val="none" w:sz="0" w:space="0" w:color="auto"/>
      </w:divBdr>
      <w:divsChild>
        <w:div w:id="784034484">
          <w:marLeft w:val="0"/>
          <w:marRight w:val="0"/>
          <w:marTop w:val="100"/>
          <w:marBottom w:val="100"/>
          <w:divBdr>
            <w:top w:val="none" w:sz="0" w:space="0" w:color="auto"/>
            <w:left w:val="none" w:sz="0" w:space="0" w:color="auto"/>
            <w:bottom w:val="none" w:sz="0" w:space="0" w:color="auto"/>
            <w:right w:val="none" w:sz="0" w:space="0" w:color="auto"/>
          </w:divBdr>
          <w:divsChild>
            <w:div w:id="1457718053">
              <w:marLeft w:val="0"/>
              <w:marRight w:val="0"/>
              <w:marTop w:val="0"/>
              <w:marBottom w:val="0"/>
              <w:divBdr>
                <w:top w:val="none" w:sz="0" w:space="0" w:color="auto"/>
                <w:left w:val="none" w:sz="0" w:space="0" w:color="auto"/>
                <w:bottom w:val="none" w:sz="0" w:space="0" w:color="auto"/>
                <w:right w:val="none" w:sz="0" w:space="0" w:color="auto"/>
              </w:divBdr>
              <w:divsChild>
                <w:div w:id="316495804">
                  <w:marLeft w:val="0"/>
                  <w:marRight w:val="0"/>
                  <w:marTop w:val="0"/>
                  <w:marBottom w:val="0"/>
                  <w:divBdr>
                    <w:top w:val="none" w:sz="0" w:space="0" w:color="auto"/>
                    <w:left w:val="none" w:sz="0" w:space="0" w:color="auto"/>
                    <w:bottom w:val="none" w:sz="0" w:space="0" w:color="auto"/>
                    <w:right w:val="none" w:sz="0" w:space="0" w:color="auto"/>
                  </w:divBdr>
                  <w:divsChild>
                    <w:div w:id="1459375767">
                      <w:marLeft w:val="0"/>
                      <w:marRight w:val="0"/>
                      <w:marTop w:val="450"/>
                      <w:marBottom w:val="450"/>
                      <w:divBdr>
                        <w:top w:val="none" w:sz="0" w:space="0" w:color="auto"/>
                        <w:left w:val="none" w:sz="0" w:space="0" w:color="auto"/>
                        <w:bottom w:val="none" w:sz="0" w:space="0" w:color="auto"/>
                        <w:right w:val="none" w:sz="0" w:space="0" w:color="auto"/>
                      </w:divBdr>
                      <w:divsChild>
                        <w:div w:id="1060329584">
                          <w:marLeft w:val="0"/>
                          <w:marRight w:val="0"/>
                          <w:marTop w:val="0"/>
                          <w:marBottom w:val="0"/>
                          <w:divBdr>
                            <w:top w:val="none" w:sz="0" w:space="0" w:color="auto"/>
                            <w:left w:val="none" w:sz="0" w:space="0" w:color="auto"/>
                            <w:bottom w:val="none" w:sz="0" w:space="0" w:color="auto"/>
                            <w:right w:val="none" w:sz="0" w:space="0" w:color="auto"/>
                          </w:divBdr>
                          <w:divsChild>
                            <w:div w:id="392697809">
                              <w:marLeft w:val="0"/>
                              <w:marRight w:val="0"/>
                              <w:marTop w:val="0"/>
                              <w:marBottom w:val="0"/>
                              <w:divBdr>
                                <w:top w:val="none" w:sz="0" w:space="0" w:color="auto"/>
                                <w:left w:val="none" w:sz="0" w:space="0" w:color="auto"/>
                                <w:bottom w:val="none" w:sz="0" w:space="0" w:color="auto"/>
                                <w:right w:val="none" w:sz="0" w:space="0" w:color="auto"/>
                              </w:divBdr>
                              <w:divsChild>
                                <w:div w:id="1450473981">
                                  <w:marLeft w:val="0"/>
                                  <w:marRight w:val="0"/>
                                  <w:marTop w:val="0"/>
                                  <w:marBottom w:val="0"/>
                                  <w:divBdr>
                                    <w:top w:val="none" w:sz="0" w:space="0" w:color="auto"/>
                                    <w:left w:val="none" w:sz="0" w:space="0" w:color="auto"/>
                                    <w:bottom w:val="none" w:sz="0" w:space="0" w:color="auto"/>
                                    <w:right w:val="none" w:sz="0" w:space="0" w:color="auto"/>
                                  </w:divBdr>
                                  <w:divsChild>
                                    <w:div w:id="49973431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224218352">
      <w:bodyDiv w:val="1"/>
      <w:marLeft w:val="0"/>
      <w:marRight w:val="0"/>
      <w:marTop w:val="0"/>
      <w:marBottom w:val="0"/>
      <w:divBdr>
        <w:top w:val="none" w:sz="0" w:space="0" w:color="auto"/>
        <w:left w:val="none" w:sz="0" w:space="0" w:color="auto"/>
        <w:bottom w:val="none" w:sz="0" w:space="0" w:color="auto"/>
        <w:right w:val="none" w:sz="0" w:space="0" w:color="auto"/>
      </w:divBdr>
    </w:div>
    <w:div w:id="1242790915">
      <w:bodyDiv w:val="1"/>
      <w:marLeft w:val="0"/>
      <w:marRight w:val="0"/>
      <w:marTop w:val="0"/>
      <w:marBottom w:val="0"/>
      <w:divBdr>
        <w:top w:val="none" w:sz="0" w:space="0" w:color="auto"/>
        <w:left w:val="none" w:sz="0" w:space="0" w:color="auto"/>
        <w:bottom w:val="none" w:sz="0" w:space="0" w:color="auto"/>
        <w:right w:val="none" w:sz="0" w:space="0" w:color="auto"/>
      </w:divBdr>
    </w:div>
    <w:div w:id="1349521590">
      <w:bodyDiv w:val="1"/>
      <w:marLeft w:val="0"/>
      <w:marRight w:val="0"/>
      <w:marTop w:val="0"/>
      <w:marBottom w:val="0"/>
      <w:divBdr>
        <w:top w:val="none" w:sz="0" w:space="0" w:color="auto"/>
        <w:left w:val="none" w:sz="0" w:space="0" w:color="auto"/>
        <w:bottom w:val="none" w:sz="0" w:space="0" w:color="auto"/>
        <w:right w:val="none" w:sz="0" w:space="0" w:color="auto"/>
      </w:divBdr>
      <w:divsChild>
        <w:div w:id="77868191">
          <w:marLeft w:val="0"/>
          <w:marRight w:val="0"/>
          <w:marTop w:val="100"/>
          <w:marBottom w:val="100"/>
          <w:divBdr>
            <w:top w:val="none" w:sz="0" w:space="0" w:color="auto"/>
            <w:left w:val="none" w:sz="0" w:space="0" w:color="auto"/>
            <w:bottom w:val="none" w:sz="0" w:space="0" w:color="auto"/>
            <w:right w:val="none" w:sz="0" w:space="0" w:color="auto"/>
          </w:divBdr>
          <w:divsChild>
            <w:div w:id="42795058">
              <w:marLeft w:val="0"/>
              <w:marRight w:val="0"/>
              <w:marTop w:val="0"/>
              <w:marBottom w:val="0"/>
              <w:divBdr>
                <w:top w:val="none" w:sz="0" w:space="0" w:color="auto"/>
                <w:left w:val="none" w:sz="0" w:space="0" w:color="auto"/>
                <w:bottom w:val="none" w:sz="0" w:space="0" w:color="auto"/>
                <w:right w:val="none" w:sz="0" w:space="0" w:color="auto"/>
              </w:divBdr>
              <w:divsChild>
                <w:div w:id="94136344">
                  <w:marLeft w:val="0"/>
                  <w:marRight w:val="0"/>
                  <w:marTop w:val="0"/>
                  <w:marBottom w:val="0"/>
                  <w:divBdr>
                    <w:top w:val="none" w:sz="0" w:space="0" w:color="auto"/>
                    <w:left w:val="none" w:sz="0" w:space="0" w:color="auto"/>
                    <w:bottom w:val="none" w:sz="0" w:space="0" w:color="auto"/>
                    <w:right w:val="none" w:sz="0" w:space="0" w:color="auto"/>
                  </w:divBdr>
                  <w:divsChild>
                    <w:div w:id="48313321">
                      <w:marLeft w:val="0"/>
                      <w:marRight w:val="0"/>
                      <w:marTop w:val="450"/>
                      <w:marBottom w:val="450"/>
                      <w:divBdr>
                        <w:top w:val="none" w:sz="0" w:space="0" w:color="auto"/>
                        <w:left w:val="none" w:sz="0" w:space="0" w:color="auto"/>
                        <w:bottom w:val="none" w:sz="0" w:space="0" w:color="auto"/>
                        <w:right w:val="none" w:sz="0" w:space="0" w:color="auto"/>
                      </w:divBdr>
                      <w:divsChild>
                        <w:div w:id="999893896">
                          <w:marLeft w:val="0"/>
                          <w:marRight w:val="0"/>
                          <w:marTop w:val="0"/>
                          <w:marBottom w:val="0"/>
                          <w:divBdr>
                            <w:top w:val="none" w:sz="0" w:space="0" w:color="auto"/>
                            <w:left w:val="none" w:sz="0" w:space="0" w:color="auto"/>
                            <w:bottom w:val="none" w:sz="0" w:space="0" w:color="auto"/>
                            <w:right w:val="none" w:sz="0" w:space="0" w:color="auto"/>
                          </w:divBdr>
                          <w:divsChild>
                            <w:div w:id="1902978662">
                              <w:marLeft w:val="0"/>
                              <w:marRight w:val="0"/>
                              <w:marTop w:val="0"/>
                              <w:marBottom w:val="0"/>
                              <w:divBdr>
                                <w:top w:val="none" w:sz="0" w:space="0" w:color="auto"/>
                                <w:left w:val="none" w:sz="0" w:space="0" w:color="auto"/>
                                <w:bottom w:val="none" w:sz="0" w:space="0" w:color="auto"/>
                                <w:right w:val="none" w:sz="0" w:space="0" w:color="auto"/>
                              </w:divBdr>
                              <w:divsChild>
                                <w:div w:id="741028457">
                                  <w:marLeft w:val="0"/>
                                  <w:marRight w:val="0"/>
                                  <w:marTop w:val="0"/>
                                  <w:marBottom w:val="0"/>
                                  <w:divBdr>
                                    <w:top w:val="none" w:sz="0" w:space="0" w:color="auto"/>
                                    <w:left w:val="none" w:sz="0" w:space="0" w:color="auto"/>
                                    <w:bottom w:val="none" w:sz="0" w:space="0" w:color="auto"/>
                                    <w:right w:val="none" w:sz="0" w:space="0" w:color="auto"/>
                                  </w:divBdr>
                                  <w:divsChild>
                                    <w:div w:id="499153970">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437944485">
      <w:bodyDiv w:val="1"/>
      <w:marLeft w:val="0"/>
      <w:marRight w:val="0"/>
      <w:marTop w:val="0"/>
      <w:marBottom w:val="0"/>
      <w:divBdr>
        <w:top w:val="none" w:sz="0" w:space="0" w:color="auto"/>
        <w:left w:val="none" w:sz="0" w:space="0" w:color="auto"/>
        <w:bottom w:val="none" w:sz="0" w:space="0" w:color="auto"/>
        <w:right w:val="none" w:sz="0" w:space="0" w:color="auto"/>
      </w:divBdr>
    </w:div>
    <w:div w:id="1522627078">
      <w:bodyDiv w:val="1"/>
      <w:marLeft w:val="0"/>
      <w:marRight w:val="0"/>
      <w:marTop w:val="0"/>
      <w:marBottom w:val="0"/>
      <w:divBdr>
        <w:top w:val="none" w:sz="0" w:space="0" w:color="auto"/>
        <w:left w:val="none" w:sz="0" w:space="0" w:color="auto"/>
        <w:bottom w:val="none" w:sz="0" w:space="0" w:color="auto"/>
        <w:right w:val="none" w:sz="0" w:space="0" w:color="auto"/>
      </w:divBdr>
      <w:divsChild>
        <w:div w:id="133257028">
          <w:marLeft w:val="0"/>
          <w:marRight w:val="0"/>
          <w:marTop w:val="100"/>
          <w:marBottom w:val="100"/>
          <w:divBdr>
            <w:top w:val="none" w:sz="0" w:space="0" w:color="auto"/>
            <w:left w:val="none" w:sz="0" w:space="0" w:color="auto"/>
            <w:bottom w:val="none" w:sz="0" w:space="0" w:color="auto"/>
            <w:right w:val="none" w:sz="0" w:space="0" w:color="auto"/>
          </w:divBdr>
          <w:divsChild>
            <w:div w:id="475730685">
              <w:marLeft w:val="0"/>
              <w:marRight w:val="0"/>
              <w:marTop w:val="0"/>
              <w:marBottom w:val="0"/>
              <w:divBdr>
                <w:top w:val="none" w:sz="0" w:space="0" w:color="auto"/>
                <w:left w:val="none" w:sz="0" w:space="0" w:color="auto"/>
                <w:bottom w:val="none" w:sz="0" w:space="0" w:color="auto"/>
                <w:right w:val="none" w:sz="0" w:space="0" w:color="auto"/>
              </w:divBdr>
              <w:divsChild>
                <w:div w:id="2090343420">
                  <w:marLeft w:val="0"/>
                  <w:marRight w:val="0"/>
                  <w:marTop w:val="0"/>
                  <w:marBottom w:val="0"/>
                  <w:divBdr>
                    <w:top w:val="none" w:sz="0" w:space="0" w:color="auto"/>
                    <w:left w:val="none" w:sz="0" w:space="0" w:color="auto"/>
                    <w:bottom w:val="none" w:sz="0" w:space="0" w:color="auto"/>
                    <w:right w:val="none" w:sz="0" w:space="0" w:color="auto"/>
                  </w:divBdr>
                  <w:divsChild>
                    <w:div w:id="80613477">
                      <w:marLeft w:val="0"/>
                      <w:marRight w:val="0"/>
                      <w:marTop w:val="450"/>
                      <w:marBottom w:val="450"/>
                      <w:divBdr>
                        <w:top w:val="none" w:sz="0" w:space="0" w:color="auto"/>
                        <w:left w:val="none" w:sz="0" w:space="0" w:color="auto"/>
                        <w:bottom w:val="none" w:sz="0" w:space="0" w:color="auto"/>
                        <w:right w:val="none" w:sz="0" w:space="0" w:color="auto"/>
                      </w:divBdr>
                      <w:divsChild>
                        <w:div w:id="711223597">
                          <w:marLeft w:val="0"/>
                          <w:marRight w:val="0"/>
                          <w:marTop w:val="0"/>
                          <w:marBottom w:val="0"/>
                          <w:divBdr>
                            <w:top w:val="none" w:sz="0" w:space="0" w:color="auto"/>
                            <w:left w:val="none" w:sz="0" w:space="0" w:color="auto"/>
                            <w:bottom w:val="none" w:sz="0" w:space="0" w:color="auto"/>
                            <w:right w:val="none" w:sz="0" w:space="0" w:color="auto"/>
                          </w:divBdr>
                          <w:divsChild>
                            <w:div w:id="1689334875">
                              <w:marLeft w:val="0"/>
                              <w:marRight w:val="0"/>
                              <w:marTop w:val="0"/>
                              <w:marBottom w:val="0"/>
                              <w:divBdr>
                                <w:top w:val="none" w:sz="0" w:space="0" w:color="auto"/>
                                <w:left w:val="none" w:sz="0" w:space="0" w:color="auto"/>
                                <w:bottom w:val="none" w:sz="0" w:space="0" w:color="auto"/>
                                <w:right w:val="none" w:sz="0" w:space="0" w:color="auto"/>
                              </w:divBdr>
                              <w:divsChild>
                                <w:div w:id="957906015">
                                  <w:marLeft w:val="0"/>
                                  <w:marRight w:val="0"/>
                                  <w:marTop w:val="0"/>
                                  <w:marBottom w:val="0"/>
                                  <w:divBdr>
                                    <w:top w:val="none" w:sz="0" w:space="0" w:color="auto"/>
                                    <w:left w:val="none" w:sz="0" w:space="0" w:color="auto"/>
                                    <w:bottom w:val="none" w:sz="0" w:space="0" w:color="auto"/>
                                    <w:right w:val="none" w:sz="0" w:space="0" w:color="auto"/>
                                  </w:divBdr>
                                  <w:divsChild>
                                    <w:div w:id="172433092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699088407">
      <w:bodyDiv w:val="1"/>
      <w:marLeft w:val="0"/>
      <w:marRight w:val="0"/>
      <w:marTop w:val="0"/>
      <w:marBottom w:val="0"/>
      <w:divBdr>
        <w:top w:val="none" w:sz="0" w:space="0" w:color="auto"/>
        <w:left w:val="none" w:sz="0" w:space="0" w:color="auto"/>
        <w:bottom w:val="none" w:sz="0" w:space="0" w:color="auto"/>
        <w:right w:val="none" w:sz="0" w:space="0" w:color="auto"/>
      </w:divBdr>
    </w:div>
    <w:div w:id="1792436878">
      <w:bodyDiv w:val="1"/>
      <w:marLeft w:val="0"/>
      <w:marRight w:val="0"/>
      <w:marTop w:val="0"/>
      <w:marBottom w:val="0"/>
      <w:divBdr>
        <w:top w:val="none" w:sz="0" w:space="0" w:color="auto"/>
        <w:left w:val="none" w:sz="0" w:space="0" w:color="auto"/>
        <w:bottom w:val="none" w:sz="0" w:space="0" w:color="auto"/>
        <w:right w:val="none" w:sz="0" w:space="0" w:color="auto"/>
      </w:divBdr>
    </w:div>
    <w:div w:id="1835022747">
      <w:bodyDiv w:val="1"/>
      <w:marLeft w:val="0"/>
      <w:marRight w:val="0"/>
      <w:marTop w:val="0"/>
      <w:marBottom w:val="0"/>
      <w:divBdr>
        <w:top w:val="none" w:sz="0" w:space="0" w:color="auto"/>
        <w:left w:val="none" w:sz="0" w:space="0" w:color="auto"/>
        <w:bottom w:val="none" w:sz="0" w:space="0" w:color="auto"/>
        <w:right w:val="none" w:sz="0" w:space="0" w:color="auto"/>
      </w:divBdr>
    </w:div>
    <w:div w:id="1939831981">
      <w:bodyDiv w:val="1"/>
      <w:marLeft w:val="0"/>
      <w:marRight w:val="0"/>
      <w:marTop w:val="0"/>
      <w:marBottom w:val="0"/>
      <w:divBdr>
        <w:top w:val="none" w:sz="0" w:space="0" w:color="auto"/>
        <w:left w:val="none" w:sz="0" w:space="0" w:color="auto"/>
        <w:bottom w:val="none" w:sz="0" w:space="0" w:color="auto"/>
        <w:right w:val="none" w:sz="0" w:space="0" w:color="auto"/>
      </w:divBdr>
    </w:div>
    <w:div w:id="1950352225">
      <w:bodyDiv w:val="1"/>
      <w:marLeft w:val="0"/>
      <w:marRight w:val="0"/>
      <w:marTop w:val="0"/>
      <w:marBottom w:val="0"/>
      <w:divBdr>
        <w:top w:val="none" w:sz="0" w:space="0" w:color="auto"/>
        <w:left w:val="none" w:sz="0" w:space="0" w:color="auto"/>
        <w:bottom w:val="none" w:sz="0" w:space="0" w:color="auto"/>
        <w:right w:val="none" w:sz="0" w:space="0" w:color="auto"/>
      </w:divBdr>
    </w:div>
    <w:div w:id="1989237844">
      <w:bodyDiv w:val="1"/>
      <w:marLeft w:val="0"/>
      <w:marRight w:val="0"/>
      <w:marTop w:val="0"/>
      <w:marBottom w:val="0"/>
      <w:divBdr>
        <w:top w:val="none" w:sz="0" w:space="0" w:color="auto"/>
        <w:left w:val="none" w:sz="0" w:space="0" w:color="auto"/>
        <w:bottom w:val="none" w:sz="0" w:space="0" w:color="auto"/>
        <w:right w:val="none" w:sz="0" w:space="0" w:color="auto"/>
      </w:divBdr>
    </w:div>
    <w:div w:id="1989941404">
      <w:bodyDiv w:val="1"/>
      <w:marLeft w:val="0"/>
      <w:marRight w:val="0"/>
      <w:marTop w:val="0"/>
      <w:marBottom w:val="0"/>
      <w:divBdr>
        <w:top w:val="none" w:sz="0" w:space="0" w:color="auto"/>
        <w:left w:val="none" w:sz="0" w:space="0" w:color="auto"/>
        <w:bottom w:val="none" w:sz="0" w:space="0" w:color="auto"/>
        <w:right w:val="none" w:sz="0" w:space="0" w:color="auto"/>
      </w:divBdr>
    </w:div>
    <w:div w:id="1996492977">
      <w:bodyDiv w:val="1"/>
      <w:marLeft w:val="0"/>
      <w:marRight w:val="0"/>
      <w:marTop w:val="0"/>
      <w:marBottom w:val="0"/>
      <w:divBdr>
        <w:top w:val="none" w:sz="0" w:space="0" w:color="auto"/>
        <w:left w:val="none" w:sz="0" w:space="0" w:color="auto"/>
        <w:bottom w:val="none" w:sz="0" w:space="0" w:color="auto"/>
        <w:right w:val="none" w:sz="0" w:space="0" w:color="auto"/>
      </w:divBdr>
    </w:div>
    <w:div w:id="2030447394">
      <w:bodyDiv w:val="1"/>
      <w:marLeft w:val="0"/>
      <w:marRight w:val="0"/>
      <w:marTop w:val="0"/>
      <w:marBottom w:val="0"/>
      <w:divBdr>
        <w:top w:val="none" w:sz="0" w:space="0" w:color="auto"/>
        <w:left w:val="none" w:sz="0" w:space="0" w:color="auto"/>
        <w:bottom w:val="none" w:sz="0" w:space="0" w:color="auto"/>
        <w:right w:val="none" w:sz="0" w:space="0" w:color="auto"/>
      </w:divBdr>
    </w:div>
    <w:div w:id="2053722323">
      <w:bodyDiv w:val="1"/>
      <w:marLeft w:val="0"/>
      <w:marRight w:val="0"/>
      <w:marTop w:val="0"/>
      <w:marBottom w:val="0"/>
      <w:divBdr>
        <w:top w:val="none" w:sz="0" w:space="0" w:color="auto"/>
        <w:left w:val="none" w:sz="0" w:space="0" w:color="auto"/>
        <w:bottom w:val="none" w:sz="0" w:space="0" w:color="auto"/>
        <w:right w:val="none" w:sz="0" w:space="0" w:color="auto"/>
      </w:divBdr>
    </w:div>
    <w:div w:id="2064793256">
      <w:bodyDiv w:val="1"/>
      <w:marLeft w:val="0"/>
      <w:marRight w:val="0"/>
      <w:marTop w:val="0"/>
      <w:marBottom w:val="0"/>
      <w:divBdr>
        <w:top w:val="none" w:sz="0" w:space="0" w:color="auto"/>
        <w:left w:val="none" w:sz="0" w:space="0" w:color="auto"/>
        <w:bottom w:val="none" w:sz="0" w:space="0" w:color="auto"/>
        <w:right w:val="none" w:sz="0" w:space="0" w:color="auto"/>
      </w:divBdr>
    </w:div>
    <w:div w:id="2082674343">
      <w:bodyDiv w:val="1"/>
      <w:marLeft w:val="0"/>
      <w:marRight w:val="0"/>
      <w:marTop w:val="0"/>
      <w:marBottom w:val="0"/>
      <w:divBdr>
        <w:top w:val="none" w:sz="0" w:space="0" w:color="auto"/>
        <w:left w:val="none" w:sz="0" w:space="0" w:color="auto"/>
        <w:bottom w:val="none" w:sz="0" w:space="0" w:color="auto"/>
        <w:right w:val="none" w:sz="0" w:space="0" w:color="auto"/>
      </w:divBdr>
    </w:div>
    <w:div w:id="2094861284">
      <w:bodyDiv w:val="1"/>
      <w:marLeft w:val="0"/>
      <w:marRight w:val="0"/>
      <w:marTop w:val="0"/>
      <w:marBottom w:val="0"/>
      <w:divBdr>
        <w:top w:val="none" w:sz="0" w:space="0" w:color="auto"/>
        <w:left w:val="none" w:sz="0" w:space="0" w:color="auto"/>
        <w:bottom w:val="none" w:sz="0" w:space="0" w:color="auto"/>
        <w:right w:val="none" w:sz="0" w:space="0" w:color="auto"/>
      </w:divBdr>
    </w:div>
    <w:div w:id="21446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4503</TotalTime>
  <Pages>17</Pages>
  <Words>4712</Words>
  <Characters>26860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Kagiri Muuo</dc:creator>
  <cp:keywords/>
  <dc:description/>
  <cp:lastModifiedBy>Moses Kagiri Muuo</cp:lastModifiedBy>
  <cp:revision>46</cp:revision>
  <dcterms:created xsi:type="dcterms:W3CDTF">2024-09-02T12:54:00Z</dcterms:created>
  <dcterms:modified xsi:type="dcterms:W3CDTF">2024-09-11T07:01:00Z</dcterms:modified>
</cp:coreProperties>
</file>